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widowControl w:val="0"/>
        <w:kinsoku/>
        <w:wordWrap/>
        <w:overflowPunct/>
        <w:topLinePunct w:val="0"/>
        <w:autoSpaceDE/>
        <w:autoSpaceDN/>
        <w:bidi w:val="0"/>
        <w:adjustRightInd w:val="0"/>
        <w:snapToGrid w:val="0"/>
        <w:spacing w:line="640" w:lineRule="exact"/>
        <w:ind w:firstLine="0" w:firstLineChars="0"/>
        <w:jc w:val="center"/>
        <w:textAlignment w:val="auto"/>
        <w:outlineLvl w:val="9"/>
        <w:rPr>
          <w:rFonts w:hint="eastAsia" w:ascii="方正小标宋简体" w:hAnsi="方正小标宋简体" w:eastAsia="方正小标宋简体" w:cs="方正小标宋简体"/>
          <w:b w:val="0"/>
          <w:bCs/>
          <w:sz w:val="44"/>
          <w:szCs w:val="44"/>
        </w:rPr>
      </w:pPr>
      <w:bookmarkStart w:id="0" w:name="_Hlk198675271"/>
      <w:bookmarkStart w:id="1" w:name="OLE_LINK5"/>
      <w:bookmarkStart w:id="123" w:name="_GoBack"/>
      <w:bookmarkEnd w:id="123"/>
      <w:r>
        <w:rPr>
          <w:rFonts w:hint="eastAsia" w:ascii="方正小标宋简体" w:hAnsi="方正小标宋简体" w:eastAsia="方正小标宋简体" w:cs="方正小标宋简体"/>
          <w:b w:val="0"/>
          <w:bCs/>
          <w:sz w:val="44"/>
          <w:szCs w:val="44"/>
        </w:rPr>
        <w:t>2024年高水平推进组织建设</w:t>
      </w:r>
      <w:bookmarkEnd w:id="0"/>
    </w:p>
    <w:bookmarkEnd w:id="1"/>
    <w:p>
      <w:pPr>
        <w:keepNext w:val="0"/>
        <w:keepLines w:val="0"/>
        <w:widowControl w:val="0"/>
        <w:kinsoku/>
        <w:wordWrap/>
        <w:overflowPunct/>
        <w:topLinePunct w:val="0"/>
        <w:autoSpaceDE/>
        <w:autoSpaceDN/>
        <w:bidi w:val="0"/>
        <w:adjustRightInd w:val="0"/>
        <w:snapToGrid w:val="0"/>
        <w:spacing w:line="640" w:lineRule="exact"/>
        <w:ind w:firstLine="0" w:firstLineChars="0"/>
        <w:jc w:val="center"/>
        <w:textAlignment w:val="auto"/>
        <w:outlineLvl w:val="9"/>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项目</w:t>
      </w:r>
      <w:r>
        <w:rPr>
          <w:rFonts w:hint="eastAsia" w:ascii="方正小标宋简体" w:hAnsi="方正小标宋简体" w:eastAsia="方正小标宋简体" w:cs="方正小标宋简体"/>
          <w:b w:val="0"/>
          <w:bCs/>
          <w:sz w:val="44"/>
          <w:szCs w:val="44"/>
          <w:lang w:val="en-US" w:eastAsia="zh-CN"/>
        </w:rPr>
        <w:t>支出</w:t>
      </w:r>
      <w:r>
        <w:rPr>
          <w:rFonts w:hint="eastAsia" w:ascii="方正小标宋简体" w:hAnsi="方正小标宋简体" w:eastAsia="方正小标宋简体" w:cs="方正小标宋简体"/>
          <w:b w:val="0"/>
          <w:bCs/>
          <w:sz w:val="44"/>
          <w:szCs w:val="44"/>
        </w:rPr>
        <w:t>绩效评价报告</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napToGrid w:val="0"/>
          <w:kern w:val="0"/>
          <w:sz w:val="32"/>
          <w:szCs w:val="32"/>
        </w:rPr>
      </w:pP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黑体" w:hAnsi="黑体" w:eastAsia="黑体" w:cs="黑体"/>
          <w:sz w:val="32"/>
          <w:szCs w:val="32"/>
        </w:rPr>
      </w:pPr>
      <w:bookmarkStart w:id="2" w:name="_Toc167954295"/>
      <w:bookmarkStart w:id="3" w:name="_Toc35588393"/>
      <w:bookmarkStart w:id="4" w:name="_Toc200061836"/>
      <w:r>
        <w:rPr>
          <w:rFonts w:hint="eastAsia" w:ascii="黑体" w:hAnsi="黑体" w:eastAsia="黑体" w:cs="黑体"/>
          <w:sz w:val="32"/>
          <w:szCs w:val="32"/>
        </w:rPr>
        <w:t>一、基本情况</w:t>
      </w:r>
      <w:bookmarkEnd w:id="2"/>
      <w:bookmarkEnd w:id="3"/>
      <w:bookmarkEnd w:id="4"/>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楷体_GB2312" w:hAnsi="楷体_GB2312" w:eastAsia="楷体_GB2312" w:cs="楷体_GB2312"/>
          <w:sz w:val="32"/>
          <w:szCs w:val="32"/>
        </w:rPr>
      </w:pPr>
      <w:bookmarkStart w:id="5" w:name="_Toc200061837"/>
      <w:bookmarkStart w:id="6" w:name="_Toc167954296"/>
      <w:bookmarkStart w:id="7" w:name="_Toc35588394"/>
      <w:r>
        <w:rPr>
          <w:rFonts w:hint="eastAsia" w:ascii="楷体_GB2312" w:hAnsi="楷体_GB2312" w:eastAsia="楷体_GB2312" w:cs="楷体_GB2312"/>
          <w:sz w:val="32"/>
          <w:szCs w:val="32"/>
        </w:rPr>
        <w:t>（一）项目概况</w:t>
      </w:r>
      <w:bookmarkEnd w:id="5"/>
      <w:bookmarkEnd w:id="6"/>
      <w:bookmarkEnd w:id="7"/>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kern w:val="0"/>
          <w:sz w:val="32"/>
          <w:szCs w:val="32"/>
        </w:rPr>
      </w:pPr>
      <w:bookmarkStart w:id="8" w:name="_Toc35588395"/>
      <w:r>
        <w:rPr>
          <w:rFonts w:hint="eastAsia" w:ascii="仿宋_GB2312" w:hAnsi="仿宋_GB2312" w:eastAsia="仿宋_GB2312" w:cs="仿宋_GB2312"/>
          <w:kern w:val="0"/>
          <w:sz w:val="32"/>
          <w:szCs w:val="32"/>
        </w:rPr>
        <w:t>1.项目背景</w:t>
      </w:r>
      <w:bookmarkEnd w:id="8"/>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组织建设是提升部门效能、增强组织凝聚力的核心基础，有利于战略目标的实现与可持续发展。关于促进市科协科技类社会组织创新发展的意见中明确了要从战略高度充分认识推动科技类社会组织进一步创新发展；北京市科协关于服务国际科技创新中心建设的实施意见明确提出“把科协组织、人才、平台全面</w:t>
      </w:r>
      <w:r>
        <w:rPr>
          <w:rFonts w:hint="eastAsia" w:ascii="仿宋_GB2312" w:hAnsi="仿宋_GB2312" w:cs="仿宋_GB2312"/>
          <w:sz w:val="32"/>
          <w:szCs w:val="32"/>
          <w:lang w:eastAsia="zh-CN"/>
        </w:rPr>
        <w:t>融入</w:t>
      </w:r>
      <w:r>
        <w:rPr>
          <w:rFonts w:hint="eastAsia" w:ascii="仿宋_GB2312" w:hAnsi="仿宋_GB2312" w:eastAsia="仿宋_GB2312" w:cs="仿宋_GB2312"/>
          <w:sz w:val="32"/>
          <w:szCs w:val="32"/>
        </w:rPr>
        <w:t>服务首都高质量发展中，把广大科技工作者的创新活力充分集聚到服务国际科技创新中心建设中”</w:t>
      </w:r>
      <w:bookmarkStart w:id="9" w:name="OLE_LINK25"/>
      <w:r>
        <w:rPr>
          <w:rFonts w:hint="eastAsia" w:ascii="仿宋_GB2312" w:hAnsi="仿宋_GB2312" w:eastAsia="仿宋_GB2312" w:cs="仿宋_GB2312"/>
          <w:sz w:val="32"/>
          <w:szCs w:val="32"/>
        </w:rPr>
        <w:t>；《科技部等印发</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深入贯彻落实习近平总书记重要批示精神 加快推动北京国际科技创新中心建设的工作方案</w:t>
      </w:r>
      <w:r>
        <w:rPr>
          <w:rFonts w:hint="eastAsia" w:ascii="仿宋_GB2312" w:hAnsi="仿宋_GB2312" w:cs="仿宋_GB2312"/>
          <w:sz w:val="32"/>
          <w:szCs w:val="32"/>
          <w:lang w:eastAsia="zh-CN"/>
        </w:rPr>
        <w:t>〉的通知》</w:t>
      </w:r>
      <w:bookmarkEnd w:id="9"/>
      <w:r>
        <w:rPr>
          <w:rFonts w:hint="eastAsia" w:ascii="仿宋_GB2312" w:hAnsi="仿宋_GB2312" w:eastAsia="仿宋_GB2312" w:cs="仿宋_GB2312"/>
          <w:sz w:val="32"/>
          <w:szCs w:val="32"/>
        </w:rPr>
        <w:t>明确了到2025年基本形成北京国际科技创新中心的战略目标。</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深入贯彻落实相关政策，市科协提出“做优学会、做好高校科协、做实企业科协、做精园区科协、做大联络圈”的工作要求，旨在提升学会和基层组织的组织凝聚力、学术引领力、社会公信力和国际影响力，不断夯实科协组织支撑服务国际科技创新中心建设的基础。</w:t>
      </w:r>
      <w:bookmarkStart w:id="10" w:name="OLE_LINK3"/>
      <w:bookmarkStart w:id="11" w:name="OLE_LINK6"/>
      <w:r>
        <w:rPr>
          <w:rFonts w:hint="eastAsia" w:ascii="仿宋_GB2312" w:hAnsi="仿宋_GB2312" w:eastAsia="仿宋_GB2312" w:cs="仿宋_GB2312"/>
          <w:sz w:val="32"/>
          <w:szCs w:val="32"/>
        </w:rPr>
        <w:t>北京科技社团服务中心</w:t>
      </w:r>
      <w:bookmarkEnd w:id="10"/>
      <w:bookmarkEnd w:id="11"/>
      <w:r>
        <w:rPr>
          <w:rFonts w:hint="eastAsia" w:ascii="仿宋_GB2312" w:hAnsi="仿宋_GB2312" w:eastAsia="仿宋_GB2312" w:cs="仿宋_GB2312"/>
          <w:sz w:val="32"/>
          <w:szCs w:val="32"/>
        </w:rPr>
        <w:t>（以下简称“科技社团服务中心”）作为</w:t>
      </w:r>
      <w:bookmarkStart w:id="12" w:name="OLE_LINK26"/>
      <w:r>
        <w:rPr>
          <w:rFonts w:hint="eastAsia" w:ascii="仿宋_GB2312" w:hAnsi="仿宋_GB2312" w:eastAsia="仿宋_GB2312" w:cs="仿宋_GB2312"/>
          <w:sz w:val="32"/>
          <w:szCs w:val="32"/>
        </w:rPr>
        <w:t>市科协所属公益一类事业单位</w:t>
      </w:r>
      <w:bookmarkEnd w:id="12"/>
      <w:r>
        <w:rPr>
          <w:rFonts w:hint="eastAsia" w:ascii="仿宋_GB2312" w:hAnsi="仿宋_GB2312" w:eastAsia="仿宋_GB2312" w:cs="仿宋_GB2312"/>
          <w:sz w:val="32"/>
          <w:szCs w:val="32"/>
        </w:rPr>
        <w:t>，承担本市科技类社会组织的联系服务及党建相关工作，承担北京老年科技工作者总会、北京反邪教协会的日常工作。为履行该工作职责，科技社团服务中心申请2024年度“高水平推进组织建设项目”立项，从党建强会计划、高校科协组织建设、聚力赋能行动等方面开展2024年度高水平推进组织建设工作。</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kern w:val="0"/>
          <w:sz w:val="32"/>
          <w:szCs w:val="32"/>
        </w:rPr>
      </w:pPr>
      <w:bookmarkStart w:id="13" w:name="_Toc35588396"/>
      <w:r>
        <w:rPr>
          <w:rFonts w:hint="eastAsia" w:ascii="仿宋_GB2312" w:hAnsi="仿宋_GB2312" w:eastAsia="仿宋_GB2312" w:cs="仿宋_GB2312"/>
          <w:bCs/>
          <w:kern w:val="0"/>
          <w:sz w:val="32"/>
          <w:szCs w:val="32"/>
        </w:rPr>
        <w:t>2.</w:t>
      </w:r>
      <w:bookmarkStart w:id="14" w:name="_Hlk206863644"/>
      <w:r>
        <w:rPr>
          <w:rFonts w:hint="eastAsia" w:ascii="仿宋_GB2312" w:hAnsi="仿宋_GB2312" w:eastAsia="仿宋_GB2312" w:cs="仿宋_GB2312"/>
          <w:bCs/>
          <w:kern w:val="0"/>
          <w:sz w:val="32"/>
          <w:szCs w:val="32"/>
        </w:rPr>
        <w:t>主要内容</w:t>
      </w:r>
      <w:bookmarkEnd w:id="13"/>
      <w:r>
        <w:rPr>
          <w:rFonts w:hint="eastAsia" w:ascii="仿宋_GB2312" w:hAnsi="仿宋_GB2312" w:eastAsia="仿宋_GB2312" w:cs="仿宋_GB2312"/>
          <w:bCs/>
          <w:kern w:val="0"/>
          <w:sz w:val="32"/>
          <w:szCs w:val="32"/>
        </w:rPr>
        <w:t>及实施情况</w:t>
      </w:r>
      <w:bookmarkEnd w:id="14"/>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该项目主要包括三方面内容，一是党建强会计划，具体包括创新争先系列活动、首都科技社团发展评估、科技社团监督管理、</w:t>
      </w:r>
      <w:r>
        <w:rPr>
          <w:rFonts w:hint="eastAsia" w:ascii="仿宋_GB2312" w:hAnsi="仿宋_GB2312" w:cs="仿宋_GB2312"/>
          <w:sz w:val="32"/>
          <w:szCs w:val="32"/>
          <w:lang w:eastAsia="zh-CN"/>
        </w:rPr>
        <w:t>基层党支部</w:t>
      </w:r>
      <w:r>
        <w:rPr>
          <w:rFonts w:hint="eastAsia" w:ascii="仿宋_GB2312" w:hAnsi="仿宋_GB2312" w:eastAsia="仿宋_GB2312" w:cs="仿宋_GB2312"/>
          <w:sz w:val="32"/>
          <w:szCs w:val="32"/>
        </w:rPr>
        <w:t>建设4项工作；二是高校科协组织建设，具体包括基层组织科技成果展示创新推介、基层组织品牌孵化、基层组织交流研讨3项工作；三是聚力赋能行动，具体包括聚力赋能交流研讨活动、科技创新协同行动、助力基层社会治理行动3项工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项目内容基本完成。</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kern w:val="0"/>
          <w:sz w:val="32"/>
          <w:szCs w:val="32"/>
        </w:rPr>
      </w:pPr>
      <w:bookmarkStart w:id="15" w:name="_Toc35588397"/>
      <w:r>
        <w:rPr>
          <w:rFonts w:hint="eastAsia" w:ascii="仿宋_GB2312" w:hAnsi="仿宋_GB2312" w:eastAsia="仿宋_GB2312" w:cs="仿宋_GB2312"/>
          <w:kern w:val="0"/>
          <w:sz w:val="32"/>
          <w:szCs w:val="32"/>
        </w:rPr>
        <w:t>3.</w:t>
      </w:r>
      <w:bookmarkStart w:id="16" w:name="_Hlk206863785"/>
      <w:bookmarkStart w:id="17" w:name="_Hlk206863810"/>
      <w:r>
        <w:rPr>
          <w:rFonts w:hint="eastAsia" w:ascii="仿宋_GB2312" w:hAnsi="仿宋_GB2312" w:eastAsia="仿宋_GB2312" w:cs="仿宋_GB2312"/>
          <w:kern w:val="0"/>
          <w:sz w:val="32"/>
          <w:szCs w:val="32"/>
        </w:rPr>
        <w:t>资金投入</w:t>
      </w:r>
      <w:bookmarkEnd w:id="15"/>
      <w:r>
        <w:rPr>
          <w:rFonts w:hint="eastAsia" w:ascii="仿宋_GB2312" w:hAnsi="仿宋_GB2312" w:eastAsia="仿宋_GB2312" w:cs="仿宋_GB2312"/>
          <w:kern w:val="0"/>
          <w:sz w:val="32"/>
          <w:szCs w:val="32"/>
        </w:rPr>
        <w:t>和使用情况</w:t>
      </w:r>
      <w:bookmarkEnd w:id="16"/>
    </w:p>
    <w:bookmarkEnd w:id="17"/>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0"/>
          <w:sz w:val="32"/>
          <w:szCs w:val="32"/>
          <w:lang w:bidi="zh-CN"/>
        </w:rPr>
        <w:t>2024年度该项目年初预算批复总额为</w:t>
      </w:r>
      <w:r>
        <w:rPr>
          <w:rFonts w:hint="eastAsia" w:ascii="仿宋_GB2312" w:hAnsi="仿宋_GB2312" w:eastAsia="仿宋_GB2312" w:cs="仿宋_GB2312"/>
          <w:iCs/>
          <w:kern w:val="0"/>
          <w:sz w:val="32"/>
          <w:szCs w:val="32"/>
        </w:rPr>
        <w:t>858.00</w:t>
      </w:r>
      <w:r>
        <w:rPr>
          <w:rFonts w:hint="eastAsia" w:ascii="仿宋_GB2312" w:hAnsi="仿宋_GB2312" w:eastAsia="仿宋_GB2312" w:cs="仿宋_GB2312"/>
          <w:kern w:val="0"/>
          <w:sz w:val="32"/>
          <w:szCs w:val="32"/>
          <w:lang w:bidi="zh-CN"/>
        </w:rPr>
        <w:t>万元，均为当年财政拨款，年中无预算调整。</w:t>
      </w:r>
      <w:r>
        <w:rPr>
          <w:rFonts w:hint="eastAsia" w:ascii="仿宋_GB2312" w:hAnsi="仿宋_GB2312" w:eastAsia="仿宋_GB2312" w:cs="仿宋_GB2312"/>
          <w:iCs/>
          <w:kern w:val="0"/>
          <w:sz w:val="32"/>
          <w:szCs w:val="32"/>
        </w:rPr>
        <w:t>截至2024年12月31日，该项目实际支出857.47万元，全年预算执行率为99.94%</w:t>
      </w:r>
      <w:bookmarkStart w:id="18" w:name="_Toc35588398"/>
      <w:r>
        <w:rPr>
          <w:rFonts w:hint="eastAsia" w:ascii="仿宋_GB2312" w:hAnsi="仿宋_GB2312" w:eastAsia="仿宋_GB2312" w:cs="仿宋_GB2312"/>
          <w:iCs/>
          <w:kern w:val="0"/>
          <w:sz w:val="32"/>
          <w:szCs w:val="32"/>
          <w:lang w:eastAsia="zh-CN"/>
        </w:rPr>
        <w:t>。</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楷体_GB2312" w:hAnsi="楷体_GB2312" w:eastAsia="楷体_GB2312" w:cs="楷体_GB2312"/>
          <w:sz w:val="32"/>
          <w:szCs w:val="32"/>
        </w:rPr>
      </w:pPr>
      <w:bookmarkStart w:id="19" w:name="_Toc167954297"/>
      <w:bookmarkStart w:id="20" w:name="_Toc200061838"/>
      <w:r>
        <w:rPr>
          <w:rFonts w:hint="eastAsia" w:ascii="楷体_GB2312" w:hAnsi="楷体_GB2312" w:eastAsia="楷体_GB2312" w:cs="楷体_GB2312"/>
          <w:sz w:val="32"/>
          <w:szCs w:val="32"/>
        </w:rPr>
        <w:t>（二）项目绩效目标</w:t>
      </w:r>
      <w:bookmarkEnd w:id="18"/>
      <w:bookmarkEnd w:id="19"/>
      <w:bookmarkEnd w:id="20"/>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1.</w:t>
      </w:r>
      <w:bookmarkStart w:id="21" w:name="_Hlk206864090"/>
      <w:r>
        <w:rPr>
          <w:rFonts w:hint="eastAsia" w:ascii="仿宋_GB2312" w:hAnsi="仿宋_GB2312" w:eastAsia="仿宋_GB2312" w:cs="仿宋_GB2312"/>
          <w:bCs/>
          <w:kern w:val="0"/>
          <w:sz w:val="32"/>
          <w:szCs w:val="32"/>
        </w:rPr>
        <w:t>项目年度绩效目标</w:t>
      </w:r>
      <w:bookmarkEnd w:id="21"/>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党建强会计划。进一步加强社会组织党建工作，开展创新争先活动，表扬先进树立典型；对市科协所属科技社团的组织建设、8个公共服务平台的作用发挥开展分析评估；围绕科技社团治理结构、履行“四服务”职责等方面的问题，加强对科技社团监督管理，引领科技社团高质量发展。</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二是高校科协组织建设。推进高校科协联盟建设，支持高校科协联盟发挥枢纽型、平台型组织作用。促进高校科协作用发挥，推动在京高校科协与科技社团、园区科协、企业科协、科技社团交流合作。</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三是聚力赋能行动。组织全国学会和北京市属学会交流经验。落实市科协与外省市科协签订的合作协议，</w:t>
      </w:r>
      <w:r>
        <w:rPr>
          <w:rFonts w:hint="eastAsia" w:ascii="仿宋_GB2312" w:hAnsi="仿宋_GB2312" w:cs="仿宋_GB2312"/>
          <w:sz w:val="32"/>
          <w:szCs w:val="32"/>
          <w:lang w:val="en-US" w:eastAsia="zh-CN"/>
        </w:rPr>
        <w:t>以</w:t>
      </w:r>
      <w:r>
        <w:rPr>
          <w:rFonts w:hint="eastAsia" w:ascii="仿宋_GB2312" w:hAnsi="仿宋_GB2312" w:eastAsia="仿宋_GB2312" w:cs="仿宋_GB2312"/>
          <w:sz w:val="32"/>
          <w:szCs w:val="32"/>
        </w:rPr>
        <w:t>线上线下相结合方式，对接服务京外合作科技需求。组织科技社团等基层组织，深入基层开展科技服务，助力基层社会治理。</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2.项目年度绩效指标</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该项目2024年度绩效指标情况见表</w:t>
      </w:r>
      <w:r>
        <w:rPr>
          <w:rFonts w:hint="eastAsia" w:ascii="仿宋_GB2312" w:hAnsi="仿宋_GB2312" w:eastAsia="仿宋_GB2312" w:cs="仿宋_GB2312"/>
          <w:iCs/>
          <w:sz w:val="32"/>
          <w:szCs w:val="32"/>
          <w:lang w:val="en-US" w:eastAsia="zh-CN"/>
        </w:rPr>
        <w:t>1</w:t>
      </w:r>
      <w:r>
        <w:rPr>
          <w:rFonts w:hint="eastAsia" w:ascii="仿宋_GB2312" w:hAnsi="仿宋_GB2312" w:eastAsia="仿宋_GB2312" w:cs="仿宋_GB2312"/>
          <w:iCs/>
          <w:sz w:val="32"/>
          <w:szCs w:val="32"/>
        </w:rPr>
        <w:t>。</w:t>
      </w:r>
    </w:p>
    <w:p>
      <w:pPr>
        <w:keepNext w:val="0"/>
        <w:keepLines w:val="0"/>
        <w:kinsoku/>
        <w:wordWrap/>
        <w:overflowPunct/>
        <w:topLinePunct w:val="0"/>
        <w:bidi w:val="0"/>
        <w:adjustRightInd w:val="0"/>
        <w:snapToGrid w:val="0"/>
        <w:spacing w:line="560" w:lineRule="exact"/>
        <w:ind w:firstLine="640" w:firstLineChars="200"/>
        <w:jc w:val="center"/>
        <w:outlineLvl w:val="9"/>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表</w:t>
      </w:r>
      <w:r>
        <w:rPr>
          <w:rFonts w:hint="eastAsia" w:ascii="仿宋_GB2312" w:hAnsi="仿宋_GB2312" w:eastAsia="仿宋_GB2312" w:cs="仿宋_GB2312"/>
          <w:iCs/>
          <w:sz w:val="32"/>
          <w:szCs w:val="32"/>
          <w:lang w:val="en-US" w:eastAsia="zh-CN"/>
        </w:rPr>
        <w:t>1</w:t>
      </w:r>
      <w:r>
        <w:rPr>
          <w:rFonts w:hint="eastAsia" w:ascii="仿宋_GB2312" w:hAnsi="仿宋_GB2312" w:eastAsia="仿宋_GB2312" w:cs="仿宋_GB2312"/>
          <w:iCs/>
          <w:sz w:val="32"/>
          <w:szCs w:val="32"/>
        </w:rPr>
        <w:t>：项目年度绩效指标表</w:t>
      </w:r>
    </w:p>
    <w:tbl>
      <w:tblPr>
        <w:tblStyle w:val="3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75"/>
        <w:gridCol w:w="2014"/>
        <w:gridCol w:w="3553"/>
        <w:gridCol w:w="191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8" w:hRule="atLeast"/>
          <w:tblHeader/>
        </w:trPr>
        <w:tc>
          <w:tcPr>
            <w:tcW w:w="8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一级指标</w:t>
            </w:r>
          </w:p>
        </w:tc>
        <w:tc>
          <w:tcPr>
            <w:tcW w:w="11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二级指标</w:t>
            </w: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三级指标</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年度指标值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869"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产出指标</w:t>
            </w:r>
          </w:p>
        </w:tc>
        <w:tc>
          <w:tcPr>
            <w:tcW w:w="11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数量指标</w:t>
            </w: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联动高校院所科协等基层组织数量</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联系服务管理覆盖科技社团数量</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≥257家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聚力赋能行动覆盖科技社团、基层组织数量</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质量指标</w:t>
            </w: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cs="仿宋_GB2312"/>
                <w:i w:val="0"/>
                <w:iCs w:val="0"/>
                <w:color w:val="000000"/>
                <w:kern w:val="0"/>
                <w:sz w:val="24"/>
                <w:szCs w:val="24"/>
                <w:u w:val="none"/>
                <w:lang w:val="en-US" w:eastAsia="zh-CN" w:bidi="ar"/>
              </w:rPr>
              <w:t>基层党支部</w:t>
            </w:r>
            <w:r>
              <w:rPr>
                <w:rFonts w:hint="eastAsia" w:ascii="仿宋_GB2312" w:hAnsi="仿宋_GB2312" w:eastAsia="仿宋_GB2312" w:cs="仿宋_GB2312"/>
                <w:i w:val="0"/>
                <w:iCs w:val="0"/>
                <w:color w:val="000000"/>
                <w:kern w:val="0"/>
                <w:sz w:val="24"/>
                <w:szCs w:val="24"/>
                <w:u w:val="none"/>
                <w:lang w:val="en-US" w:eastAsia="zh-CN" w:bidi="ar"/>
              </w:rPr>
              <w:t>党员参与率</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央地学会联动数量</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参与联盟建设的高校科协覆盖率</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初步对接援建需求</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≥50项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联系服务科技社团覆盖率</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textDirection w:val="tbRlV"/>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p>
        </w:tc>
        <w:tc>
          <w:tcPr>
            <w:tcW w:w="11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时效指标</w:t>
            </w: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项目工作方案制定</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组织项目申报评审</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=4月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项目结题及总结</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=12月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成本指标</w:t>
            </w:r>
          </w:p>
        </w:tc>
        <w:tc>
          <w:tcPr>
            <w:tcW w:w="11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经济成本指标</w:t>
            </w: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聚力赋能活动、创新争先活动经费成本控制率</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党建活动、基层治理活动、对外援建活动成本控制率</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监督管理经费</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效益指标</w:t>
            </w:r>
          </w:p>
        </w:tc>
        <w:tc>
          <w:tcPr>
            <w:tcW w:w="1111"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社会效益指标</w:t>
            </w: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cs="仿宋_GB2312"/>
                <w:i w:val="0"/>
                <w:iCs w:val="0"/>
                <w:color w:val="000000"/>
                <w:kern w:val="0"/>
                <w:sz w:val="24"/>
                <w:szCs w:val="24"/>
                <w:u w:val="none"/>
                <w:lang w:val="en-US" w:eastAsia="zh-CN" w:bidi="ar"/>
              </w:rPr>
              <w:t>基层党支部</w:t>
            </w:r>
            <w:r>
              <w:rPr>
                <w:rFonts w:hint="eastAsia" w:ascii="仿宋_GB2312" w:hAnsi="仿宋_GB2312" w:eastAsia="仿宋_GB2312" w:cs="仿宋_GB2312"/>
                <w:i w:val="0"/>
                <w:iCs w:val="0"/>
                <w:color w:val="000000"/>
                <w:kern w:val="0"/>
                <w:sz w:val="24"/>
                <w:szCs w:val="24"/>
                <w:u w:val="none"/>
                <w:lang w:val="en-US" w:eastAsia="zh-CN" w:bidi="ar"/>
              </w:rPr>
              <w:t>党员受益人次</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≥36人次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加强对科技社团发展的引领</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巩固与全国学会对接合作机制</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宣传推广高校科协等基层组织科技成果数量</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≥200项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left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创新争先活动科技工作者受益人次</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≥3000人次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left w:val="single" w:color="000000" w:sz="4" w:space="0"/>
              <w:bottom w:val="single" w:color="000000" w:sz="4" w:space="0"/>
              <w:right w:val="single" w:color="000000" w:sz="4" w:space="0"/>
            </w:tcBorders>
            <w:shd w:val="clear" w:color="auto" w:fill="auto"/>
            <w:textDirection w:val="tbRlV"/>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聚力赋能行动受益人次</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≥10万人次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8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满意度指标</w:t>
            </w:r>
          </w:p>
        </w:tc>
        <w:tc>
          <w:tcPr>
            <w:tcW w:w="111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服务对象满意度指标</w:t>
            </w: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接受援建单位满意度</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8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both"/>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both"/>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高校科协对整体工作满意度</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8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both"/>
              <w:outlineLvl w:val="9"/>
              <w:rPr>
                <w:rFonts w:hint="eastAsia" w:ascii="仿宋_GB2312" w:hAnsi="仿宋_GB2312" w:eastAsia="仿宋_GB2312" w:cs="仿宋_GB2312"/>
                <w:i w:val="0"/>
                <w:iCs w:val="0"/>
                <w:color w:val="000000"/>
                <w:sz w:val="24"/>
                <w:szCs w:val="24"/>
                <w:u w:val="none"/>
              </w:rPr>
            </w:pPr>
          </w:p>
        </w:tc>
        <w:tc>
          <w:tcPr>
            <w:tcW w:w="111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ind w:firstLine="0" w:firstLineChars="0"/>
              <w:jc w:val="both"/>
              <w:outlineLvl w:val="9"/>
              <w:rPr>
                <w:rFonts w:hint="eastAsia" w:ascii="仿宋_GB2312" w:hAnsi="仿宋_GB2312" w:eastAsia="仿宋_GB2312" w:cs="仿宋_GB2312"/>
                <w:i w:val="0"/>
                <w:iCs w:val="0"/>
                <w:color w:val="000000"/>
                <w:sz w:val="24"/>
                <w:szCs w:val="24"/>
                <w:u w:val="none"/>
              </w:rPr>
            </w:pPr>
          </w:p>
        </w:tc>
        <w:tc>
          <w:tcPr>
            <w:tcW w:w="19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科技社团对整体工作满意度</w:t>
            </w:r>
          </w:p>
        </w:tc>
        <w:tc>
          <w:tcPr>
            <w:tcW w:w="105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both"/>
              <w:textAlignment w:val="center"/>
              <w:outlineLvl w:val="9"/>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≥90%</w:t>
            </w:r>
          </w:p>
        </w:tc>
      </w:tr>
    </w:tbl>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黑体" w:hAnsi="黑体" w:eastAsia="黑体" w:cs="黑体"/>
          <w:sz w:val="32"/>
          <w:szCs w:val="32"/>
        </w:rPr>
      </w:pPr>
      <w:bookmarkStart w:id="22" w:name="_Toc167954298"/>
      <w:bookmarkStart w:id="23" w:name="_Toc200061839"/>
      <w:bookmarkStart w:id="24" w:name="_Toc35588401"/>
      <w:r>
        <w:rPr>
          <w:rFonts w:hint="eastAsia" w:ascii="黑体" w:hAnsi="黑体" w:eastAsia="黑体" w:cs="黑体"/>
          <w:sz w:val="32"/>
          <w:szCs w:val="32"/>
        </w:rPr>
        <w:t>二、绩效评价工作开展情况</w:t>
      </w:r>
      <w:bookmarkEnd w:id="22"/>
      <w:bookmarkEnd w:id="23"/>
      <w:bookmarkEnd w:id="24"/>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楷体_GB2312" w:hAnsi="楷体_GB2312" w:eastAsia="楷体_GB2312" w:cs="楷体_GB2312"/>
          <w:sz w:val="32"/>
          <w:szCs w:val="32"/>
        </w:rPr>
      </w:pPr>
      <w:bookmarkStart w:id="25" w:name="_Toc313007027"/>
      <w:bookmarkStart w:id="26" w:name="_Toc35588402"/>
      <w:bookmarkStart w:id="27" w:name="_Toc200061840"/>
      <w:bookmarkStart w:id="28" w:name="_Toc167954299"/>
      <w:r>
        <w:rPr>
          <w:rFonts w:hint="eastAsia" w:ascii="楷体_GB2312" w:hAnsi="楷体_GB2312" w:eastAsia="楷体_GB2312" w:cs="楷体_GB2312"/>
          <w:sz w:val="32"/>
          <w:szCs w:val="32"/>
        </w:rPr>
        <w:t>（一）</w:t>
      </w:r>
      <w:bookmarkEnd w:id="25"/>
      <w:r>
        <w:rPr>
          <w:rFonts w:hint="eastAsia" w:ascii="楷体_GB2312" w:hAnsi="楷体_GB2312" w:eastAsia="楷体_GB2312" w:cs="楷体_GB2312"/>
          <w:sz w:val="32"/>
          <w:szCs w:val="32"/>
        </w:rPr>
        <w:t>绩效评价目的、对象和范围</w:t>
      </w:r>
      <w:bookmarkEnd w:id="26"/>
      <w:bookmarkEnd w:id="27"/>
      <w:bookmarkEnd w:id="28"/>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bookmarkStart w:id="29" w:name="_Toc313007028"/>
      <w:bookmarkStart w:id="30" w:name="_Toc35588403"/>
      <w:r>
        <w:rPr>
          <w:rFonts w:hint="eastAsia" w:ascii="仿宋_GB2312" w:hAnsi="仿宋_GB2312" w:eastAsia="仿宋_GB2312" w:cs="仿宋_GB2312"/>
          <w:sz w:val="32"/>
          <w:szCs w:val="32"/>
        </w:rPr>
        <w:t>为深入贯彻落实《关于印发进一步深化项目支出绩效预算管理改革的意见的通知》等文件要求，根据《北京市项目支出绩效评价管理办法》规定，本次聚焦“2024年度高水平推进组织建设项目”资金，围绕项目决策、过程、产出及效益情况开展绩效评价工作，旨在总结经验、发现问题、剖析原因，并提出改进建议，为项目单位科学决策、规范管理提供参考，进一步优化项目管理工作，提高财政资金配置效率和使用效益。</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楷体_GB2312" w:hAnsi="楷体_GB2312" w:eastAsia="楷体_GB2312" w:cs="楷体_GB2312"/>
          <w:sz w:val="32"/>
          <w:szCs w:val="32"/>
        </w:rPr>
      </w:pPr>
      <w:bookmarkStart w:id="31" w:name="_Toc200061841"/>
      <w:bookmarkStart w:id="32" w:name="_Toc167954300"/>
      <w:r>
        <w:rPr>
          <w:rFonts w:hint="eastAsia" w:ascii="楷体_GB2312" w:hAnsi="楷体_GB2312" w:eastAsia="楷体_GB2312" w:cs="楷体_GB2312"/>
          <w:sz w:val="32"/>
          <w:szCs w:val="32"/>
        </w:rPr>
        <w:t>（二）绩效评价原则、</w:t>
      </w:r>
      <w:bookmarkEnd w:id="29"/>
      <w:r>
        <w:rPr>
          <w:rFonts w:hint="eastAsia" w:ascii="楷体_GB2312" w:hAnsi="楷体_GB2312" w:eastAsia="楷体_GB2312" w:cs="楷体_GB2312"/>
          <w:sz w:val="32"/>
          <w:szCs w:val="32"/>
        </w:rPr>
        <w:t>方法及指标体系</w:t>
      </w:r>
      <w:bookmarkEnd w:id="30"/>
      <w:bookmarkEnd w:id="31"/>
      <w:bookmarkEnd w:id="32"/>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bookmarkStart w:id="33" w:name="_Toc313007030"/>
      <w:r>
        <w:rPr>
          <w:rFonts w:hint="eastAsia" w:ascii="仿宋_GB2312" w:hAnsi="仿宋_GB2312" w:eastAsia="仿宋_GB2312" w:cs="仿宋_GB2312"/>
          <w:bCs/>
          <w:sz w:val="32"/>
          <w:szCs w:val="32"/>
        </w:rPr>
        <w:t>1.评价原则和方法</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本次评价本着科学公正、统筹兼顾、激励约束、公开透明的原则，采用全面评价和重点评价相结合、定性分析与定量分析相结合的方式方法，运用案卷研究、网络调查、电话沟通、专家咨询等多种方式，结合成本效益分析法、比较法、因素分析法、专家评判法等多种方法，对项目决策、过程、产出、效益四方面进行综合评价，并提出改进意见和建议，以促进工作的规范化以及财政资金使用效益的有效提高。</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2.评价指标体系</w:t>
      </w:r>
      <w:bookmarkEnd w:id="33"/>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bookmarkStart w:id="34" w:name="_Toc35588404"/>
      <w:bookmarkStart w:id="35" w:name="_Toc313007032"/>
      <w:r>
        <w:rPr>
          <w:rFonts w:hint="eastAsia" w:ascii="仿宋_GB2312" w:hAnsi="仿宋_GB2312" w:eastAsia="仿宋_GB2312" w:cs="仿宋_GB2312"/>
          <w:sz w:val="32"/>
          <w:szCs w:val="32"/>
        </w:rPr>
        <w:t>本次评价指标体系根据《北京市项目支出绩效评价管理办法》有关要求、结合项目特点设置，包括决策、过程、产出及效益4个</w:t>
      </w:r>
      <w:r>
        <w:rPr>
          <w:rFonts w:hint="eastAsia" w:ascii="仿宋_GB2312" w:hAnsi="仿宋_GB2312" w:eastAsia="仿宋_GB2312" w:cs="仿宋_GB2312"/>
          <w:b w:val="0"/>
          <w:bCs w:val="0"/>
          <w:sz w:val="32"/>
          <w:szCs w:val="32"/>
        </w:rPr>
        <w:t>一级指标，10个二级指标和17个三级指标，满分为100分。一是决策（10分），主要评价项目立项、绩效目标和资金投入情况。二是过程（20分），主要评价资金管理和组织实施情况。三是产出（40分），主要评价</w:t>
      </w:r>
      <w:r>
        <w:rPr>
          <w:rFonts w:hint="eastAsia" w:ascii="仿宋_GB2312" w:hAnsi="仿宋_GB2312" w:eastAsia="仿宋_GB2312" w:cs="仿宋_GB2312"/>
          <w:b w:val="0"/>
          <w:bCs w:val="0"/>
          <w:caps/>
          <w:sz w:val="32"/>
          <w:szCs w:val="32"/>
        </w:rPr>
        <w:t>项目</w:t>
      </w:r>
      <w:r>
        <w:rPr>
          <w:rFonts w:hint="eastAsia" w:ascii="仿宋_GB2312" w:hAnsi="仿宋_GB2312" w:eastAsia="仿宋_GB2312" w:cs="仿宋_GB2312"/>
          <w:b w:val="0"/>
          <w:bCs w:val="0"/>
          <w:sz w:val="32"/>
          <w:szCs w:val="32"/>
        </w:rPr>
        <w:t>产出数量、质量、时效完成情况和成本控制情况。四是效益（30分），主要评价项目实施在促进科协</w:t>
      </w:r>
      <w:r>
        <w:rPr>
          <w:rFonts w:hint="eastAsia" w:ascii="仿宋_GB2312" w:hAnsi="仿宋_GB2312" w:eastAsia="仿宋_GB2312" w:cs="仿宋_GB2312"/>
          <w:sz w:val="32"/>
          <w:szCs w:val="32"/>
        </w:rPr>
        <w:t>基层组织交流合作，提升基层组织建设发展水平所起到的作用。</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本次绩效评价综合评定级别，分为4个等级：综合得分在90（含）-100分为优；综合得分在80（含）-90分为良；综合得分在60（含）-80分为中；综合得分在0-60分为差。</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楷体_GB2312" w:hAnsi="楷体_GB2312" w:eastAsia="楷体_GB2312" w:cs="楷体_GB2312"/>
          <w:sz w:val="32"/>
          <w:szCs w:val="32"/>
        </w:rPr>
      </w:pPr>
      <w:bookmarkStart w:id="36" w:name="_Toc167954301"/>
      <w:bookmarkStart w:id="37" w:name="_Toc200061842"/>
      <w:r>
        <w:rPr>
          <w:rFonts w:hint="eastAsia" w:ascii="楷体_GB2312" w:hAnsi="楷体_GB2312" w:eastAsia="楷体_GB2312" w:cs="楷体_GB2312"/>
          <w:sz w:val="32"/>
          <w:szCs w:val="32"/>
        </w:rPr>
        <w:t>（三）绩效评价工作过程</w:t>
      </w:r>
      <w:bookmarkEnd w:id="34"/>
      <w:bookmarkEnd w:id="35"/>
      <w:bookmarkEnd w:id="36"/>
      <w:bookmarkEnd w:id="37"/>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kern w:val="44"/>
          <w:sz w:val="32"/>
          <w:szCs w:val="32"/>
        </w:rPr>
      </w:pPr>
      <w:bookmarkStart w:id="38" w:name="_Toc35588408"/>
      <w:r>
        <w:rPr>
          <w:rFonts w:hint="eastAsia" w:ascii="仿宋_GB2312" w:hAnsi="仿宋_GB2312" w:eastAsia="仿宋_GB2312" w:cs="仿宋_GB2312"/>
          <w:bCs/>
          <w:kern w:val="44"/>
          <w:sz w:val="32"/>
          <w:szCs w:val="32"/>
        </w:rPr>
        <w:t>1.评价准备阶段</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辅导项目单位撰写绩效报告、准备项目资料；</w:t>
      </w:r>
      <w:r>
        <w:rPr>
          <w:rFonts w:hint="eastAsia" w:ascii="仿宋_GB2312" w:hAnsi="仿宋_GB2312" w:eastAsia="仿宋_GB2312" w:cs="仿宋_GB2312"/>
          <w:sz w:val="32"/>
          <w:szCs w:val="32"/>
        </w:rPr>
        <w:t>在与主管部门、项目单位充分沟通的基础上进行项目资料收集、整理和分析工作；</w:t>
      </w:r>
      <w:r>
        <w:rPr>
          <w:rFonts w:hint="eastAsia" w:ascii="仿宋_GB2312" w:hAnsi="仿宋_GB2312" w:eastAsia="仿宋_GB2312" w:cs="仿宋_GB2312"/>
          <w:kern w:val="0"/>
          <w:sz w:val="32"/>
          <w:szCs w:val="32"/>
        </w:rPr>
        <w:t>组建绩效评价专家组，</w:t>
      </w:r>
      <w:r>
        <w:rPr>
          <w:rFonts w:hint="eastAsia" w:ascii="仿宋_GB2312" w:hAnsi="仿宋_GB2312" w:eastAsia="仿宋_GB2312" w:cs="仿宋_GB2312"/>
          <w:sz w:val="32"/>
          <w:szCs w:val="32"/>
        </w:rPr>
        <w:t>包括管理专家、业务专家、财务专家各1名。</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kern w:val="44"/>
          <w:sz w:val="32"/>
          <w:szCs w:val="32"/>
        </w:rPr>
      </w:pPr>
      <w:r>
        <w:rPr>
          <w:rFonts w:hint="eastAsia" w:ascii="仿宋_GB2312" w:hAnsi="仿宋_GB2312" w:eastAsia="仿宋_GB2312" w:cs="仿宋_GB2312"/>
          <w:bCs/>
          <w:kern w:val="44"/>
          <w:sz w:val="32"/>
          <w:szCs w:val="32"/>
        </w:rPr>
        <w:t>2.评价实施阶段</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既定评价工作安排，在资料整理分析的基础上，于5月16日召开了专家评价会。评价专家组听取了项目绩效情况汇报，结合绩效报告及相关材料审阅情况，与项目单位相关人员进行了充分交流沟通，出具专家评价意见，形成专家组总体评价结论。</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kern w:val="44"/>
          <w:sz w:val="32"/>
          <w:szCs w:val="32"/>
        </w:rPr>
      </w:pPr>
      <w:r>
        <w:rPr>
          <w:rFonts w:hint="eastAsia" w:ascii="仿宋_GB2312" w:hAnsi="仿宋_GB2312" w:eastAsia="仿宋_GB2312" w:cs="仿宋_GB2312"/>
          <w:bCs/>
          <w:kern w:val="44"/>
          <w:sz w:val="32"/>
          <w:szCs w:val="32"/>
        </w:rPr>
        <w:t>3.评价总结阶段</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kern w:val="0"/>
          <w:sz w:val="32"/>
          <w:szCs w:val="32"/>
          <w:lang w:bidi="zh-CN"/>
        </w:rPr>
      </w:pPr>
      <w:r>
        <w:rPr>
          <w:rFonts w:hint="eastAsia" w:ascii="仿宋_GB2312" w:hAnsi="仿宋_GB2312" w:eastAsia="仿宋_GB2312" w:cs="仿宋_GB2312"/>
          <w:kern w:val="0"/>
          <w:sz w:val="32"/>
          <w:szCs w:val="32"/>
          <w:lang w:bidi="zh-CN"/>
        </w:rPr>
        <w:t>根据收集到的资料及专家评价意见，对项目决策、过程、产出和效益情况进行综合分析，形成评价结论，撰写评价报告。在经内部三级审核的基础上，</w:t>
      </w:r>
      <w:r>
        <w:rPr>
          <w:rFonts w:hint="eastAsia" w:ascii="仿宋_GB2312" w:hAnsi="仿宋_GB2312" w:eastAsia="仿宋_GB2312" w:cs="仿宋_GB2312"/>
          <w:kern w:val="0"/>
          <w:sz w:val="32"/>
          <w:szCs w:val="32"/>
          <w:lang w:val="en-US" w:bidi="zh-CN"/>
        </w:rPr>
        <w:t>形成</w:t>
      </w:r>
      <w:r>
        <w:rPr>
          <w:rFonts w:hint="eastAsia" w:ascii="仿宋_GB2312" w:hAnsi="仿宋_GB2312" w:eastAsia="仿宋_GB2312" w:cs="仿宋_GB2312"/>
          <w:kern w:val="0"/>
          <w:sz w:val="32"/>
          <w:szCs w:val="32"/>
          <w:lang w:bidi="zh-CN"/>
        </w:rPr>
        <w:t>绩效评价报告初稿并征求意见，根据反馈意见进行修改，形成正式绩效评价报告。</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黑体" w:hAnsi="黑体" w:eastAsia="黑体" w:cs="黑体"/>
          <w:sz w:val="32"/>
          <w:szCs w:val="32"/>
        </w:rPr>
      </w:pPr>
      <w:bookmarkStart w:id="39" w:name="_Toc167954302"/>
      <w:bookmarkStart w:id="40" w:name="_Toc200061843"/>
      <w:r>
        <w:rPr>
          <w:rFonts w:hint="eastAsia" w:ascii="黑体" w:hAnsi="黑体" w:eastAsia="黑体" w:cs="黑体"/>
          <w:sz w:val="32"/>
          <w:szCs w:val="32"/>
        </w:rPr>
        <w:t>三、综合评价情况及评价结论</w:t>
      </w:r>
      <w:bookmarkEnd w:id="38"/>
      <w:bookmarkEnd w:id="39"/>
      <w:bookmarkEnd w:id="40"/>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2024年度，项目从党建强会计划、高校科协组织建设、聚力赋能行动三个方面开展工作，对于促进科协基层组织交流合作，提升基层组织建设发展水平起到了一定</w:t>
      </w:r>
      <w:r>
        <w:rPr>
          <w:rFonts w:hint="eastAsia" w:ascii="仿宋_GB2312" w:hAnsi="仿宋_GB2312" w:cs="仿宋_GB2312"/>
          <w:sz w:val="32"/>
          <w:szCs w:val="32"/>
          <w:lang w:eastAsia="zh-CN"/>
        </w:rPr>
        <w:t>的</w:t>
      </w:r>
      <w:r>
        <w:rPr>
          <w:rFonts w:hint="eastAsia" w:ascii="仿宋_GB2312" w:hAnsi="仿宋_GB2312" w:eastAsia="仿宋_GB2312" w:cs="仿宋_GB2312"/>
          <w:sz w:val="32"/>
          <w:szCs w:val="32"/>
        </w:rPr>
        <w:t>积极作用。</w:t>
      </w:r>
      <w:r>
        <w:rPr>
          <w:rFonts w:hint="eastAsia" w:ascii="仿宋_GB2312" w:hAnsi="仿宋_GB2312" w:eastAsia="仿宋_GB2312" w:cs="仿宋_GB2312"/>
          <w:sz w:val="32"/>
          <w:szCs w:val="32"/>
          <w:lang w:eastAsia="zh-CN"/>
        </w:rPr>
        <w:t>项目</w:t>
      </w:r>
      <w:r>
        <w:rPr>
          <w:rFonts w:hint="eastAsia" w:ascii="仿宋_GB2312" w:hAnsi="仿宋_GB2312" w:eastAsia="仿宋_GB2312" w:cs="仿宋_GB2312"/>
          <w:sz w:val="32"/>
          <w:szCs w:val="32"/>
          <w:lang w:eastAsia="zh-Hans"/>
        </w:rPr>
        <w:t>综合评价得分8</w:t>
      </w:r>
      <w:r>
        <w:rPr>
          <w:rFonts w:hint="eastAsia" w:ascii="仿宋_GB2312" w:hAnsi="仿宋_GB2312" w:eastAsia="仿宋_GB2312" w:cs="仿宋_GB2312"/>
          <w:sz w:val="32"/>
          <w:szCs w:val="32"/>
        </w:rPr>
        <w:t>6.90</w:t>
      </w:r>
      <w:r>
        <w:rPr>
          <w:rFonts w:hint="eastAsia" w:ascii="仿宋_GB2312" w:hAnsi="仿宋_GB2312" w:eastAsia="仿宋_GB2312" w:cs="仿宋_GB2312"/>
          <w:sz w:val="32"/>
          <w:szCs w:val="32"/>
          <w:lang w:eastAsia="zh-Hans"/>
        </w:rPr>
        <w:t>分</w:t>
      </w:r>
      <w:r>
        <w:rPr>
          <w:rFonts w:hint="eastAsia" w:ascii="仿宋_GB2312" w:hAnsi="仿宋_GB2312" w:eastAsia="仿宋_GB2312" w:cs="仿宋_GB2312"/>
          <w:sz w:val="32"/>
          <w:szCs w:val="32"/>
        </w:rPr>
        <w:t>，评价</w:t>
      </w:r>
      <w:r>
        <w:rPr>
          <w:rFonts w:hint="eastAsia" w:ascii="仿宋_GB2312" w:hAnsi="仿宋_GB2312" w:eastAsia="仿宋_GB2312" w:cs="仿宋_GB2312"/>
          <w:sz w:val="32"/>
          <w:szCs w:val="32"/>
          <w:lang w:eastAsia="zh-Hans"/>
        </w:rPr>
        <w:t>等级为“良”</w:t>
      </w:r>
      <w:r>
        <w:rPr>
          <w:rFonts w:hint="eastAsia" w:ascii="仿宋_GB2312" w:hAnsi="仿宋_GB2312" w:eastAsia="仿宋_GB2312" w:cs="仿宋_GB2312"/>
          <w:sz w:val="32"/>
          <w:szCs w:val="32"/>
        </w:rPr>
        <w:t>。</w:t>
      </w:r>
      <w:bookmarkStart w:id="41" w:name="_Toc35588409"/>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黑体" w:hAnsi="黑体" w:eastAsia="黑体" w:cs="黑体"/>
          <w:sz w:val="32"/>
          <w:szCs w:val="32"/>
        </w:rPr>
      </w:pPr>
      <w:bookmarkStart w:id="42" w:name="_Toc200061844"/>
      <w:bookmarkStart w:id="43" w:name="_Toc167954303"/>
      <w:r>
        <w:rPr>
          <w:rFonts w:hint="eastAsia" w:ascii="黑体" w:hAnsi="黑体" w:eastAsia="黑体" w:cs="黑体"/>
          <w:sz w:val="32"/>
          <w:szCs w:val="32"/>
        </w:rPr>
        <w:t>四、绩效评价指标分析</w:t>
      </w:r>
      <w:bookmarkEnd w:id="41"/>
      <w:bookmarkEnd w:id="42"/>
      <w:bookmarkEnd w:id="43"/>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楷体_GB2312" w:hAnsi="楷体_GB2312" w:eastAsia="楷体_GB2312" w:cs="楷体_GB2312"/>
          <w:sz w:val="32"/>
          <w:szCs w:val="32"/>
        </w:rPr>
      </w:pPr>
      <w:bookmarkStart w:id="44" w:name="_Toc200061845"/>
      <w:bookmarkStart w:id="45" w:name="_Toc35588410"/>
      <w:bookmarkStart w:id="46" w:name="_Toc167954304"/>
      <w:r>
        <w:rPr>
          <w:rFonts w:hint="eastAsia" w:ascii="楷体_GB2312" w:hAnsi="楷体_GB2312" w:eastAsia="楷体_GB2312" w:cs="楷体_GB2312"/>
          <w:sz w:val="32"/>
          <w:szCs w:val="32"/>
        </w:rPr>
        <w:t>（一）项目决策情况</w:t>
      </w:r>
      <w:bookmarkEnd w:id="44"/>
      <w:bookmarkEnd w:id="45"/>
      <w:bookmarkEnd w:id="46"/>
    </w:p>
    <w:p>
      <w:pPr>
        <w:keepNext w:val="0"/>
        <w:keepLines w:val="0"/>
        <w:tabs>
          <w:tab w:val="left" w:pos="4065"/>
        </w:tabs>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iCs/>
          <w:sz w:val="32"/>
          <w:szCs w:val="32"/>
        </w:rPr>
        <w:t>项目立项依据较为充分，</w:t>
      </w:r>
      <w:r>
        <w:rPr>
          <w:rFonts w:hint="eastAsia" w:ascii="仿宋_GB2312" w:hAnsi="仿宋_GB2312" w:eastAsia="仿宋_GB2312" w:cs="仿宋_GB2312"/>
          <w:sz w:val="32"/>
          <w:szCs w:val="32"/>
        </w:rPr>
        <w:t>符合</w:t>
      </w:r>
      <w:r>
        <w:rPr>
          <w:rFonts w:hint="eastAsia" w:ascii="仿宋_GB2312" w:hAnsi="仿宋_GB2312" w:eastAsia="仿宋_GB2312" w:cs="仿宋_GB2312"/>
          <w:sz w:val="32"/>
          <w:szCs w:val="32"/>
          <w:lang w:val="en-US" w:eastAsia="zh-CN"/>
        </w:rPr>
        <w:t>有关</w:t>
      </w:r>
      <w:r>
        <w:rPr>
          <w:rFonts w:hint="eastAsia" w:ascii="仿宋_GB2312" w:hAnsi="仿宋_GB2312" w:eastAsia="仿宋_GB2312" w:cs="仿宋_GB2312"/>
          <w:sz w:val="32"/>
          <w:szCs w:val="32"/>
        </w:rPr>
        <w:t>文件精神，与科技社团服务中心2024年度重点工作计划一致，与项目单位职能职责相符。项目立项程序较为规范，经过了必要的集体决策，立项材料符合相关要求。该指标分值10分，得8.80分，得分率88.00%。</w:t>
      </w:r>
    </w:p>
    <w:p>
      <w:pPr>
        <w:keepNext w:val="0"/>
        <w:keepLines w:val="0"/>
        <w:tabs>
          <w:tab w:val="left" w:pos="4065"/>
        </w:tabs>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bookmarkStart w:id="47" w:name="_Toc35588411"/>
      <w:r>
        <w:rPr>
          <w:rFonts w:hint="eastAsia" w:ascii="仿宋_GB2312" w:hAnsi="仿宋_GB2312" w:eastAsia="仿宋_GB2312" w:cs="仿宋_GB2312"/>
          <w:bCs/>
          <w:sz w:val="32"/>
          <w:szCs w:val="32"/>
        </w:rPr>
        <w:t>1.项目立项</w:t>
      </w:r>
      <w:bookmarkEnd w:id="47"/>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项目立项符合《科技部等印发</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深入贯彻落实习近平总书记重要批示精神 加快推动北京国际科技创新中心建设的工作方案</w:t>
      </w:r>
      <w:r>
        <w:rPr>
          <w:rFonts w:hint="eastAsia" w:ascii="仿宋_GB2312" w:hAnsi="仿宋_GB2312" w:cs="仿宋_GB2312"/>
          <w:sz w:val="32"/>
          <w:szCs w:val="32"/>
          <w:lang w:eastAsia="zh-CN"/>
        </w:rPr>
        <w:t>〉的通知》</w:t>
      </w:r>
      <w:r>
        <w:rPr>
          <w:rFonts w:hint="eastAsia" w:ascii="仿宋_GB2312" w:hAnsi="仿宋_GB2312" w:eastAsia="仿宋_GB2312" w:cs="仿宋_GB2312"/>
          <w:sz w:val="32"/>
          <w:szCs w:val="32"/>
        </w:rPr>
        <w:t>中提出的“到2025年基本形成北京国际科技创新中心的战略目标”要求，与北京市</w:t>
      </w:r>
      <w:r>
        <w:rPr>
          <w:rFonts w:hint="eastAsia" w:ascii="仿宋_GB2312" w:hAnsi="仿宋_GB2312" w:eastAsia="仿宋_GB2312" w:cs="仿宋_GB2312"/>
          <w:sz w:val="32"/>
          <w:szCs w:val="32"/>
          <w:lang w:val="en-US" w:eastAsia="zh-CN"/>
        </w:rPr>
        <w:t>及市科协部门有关</w:t>
      </w:r>
      <w:r>
        <w:rPr>
          <w:rFonts w:hint="eastAsia" w:ascii="仿宋_GB2312" w:hAnsi="仿宋_GB2312" w:eastAsia="仿宋_GB2312" w:cs="仿宋_GB2312"/>
          <w:sz w:val="32"/>
          <w:szCs w:val="32"/>
        </w:rPr>
        <w:t>文件精神相符，与科技社团服务中心2024年工作计划中“做好科技社团、基层组织的服务中心、指导中心、资源中心、宣传中心和评估咨询中心，发挥‘服务管家’机制作用，依托‘数字科协’平台，做好‘五做’工作，助力科技工作者之家建设”的重点工作相符。科技社团服务中心具有“承担本市科技类社会组织的联系服务及党建相关工作，承担北京老年科技工作者总会、北京反邪教协会的日常工作”的职责，项目立项属于履职所需，属于公共财政支持范围，与相关部门同类项目或部门内部相关项目不重复。</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科技社团服务中</w:t>
      </w:r>
      <w:r>
        <w:rPr>
          <w:rFonts w:hint="eastAsia" w:ascii="仿宋_GB2312" w:hAnsi="仿宋_GB2312" w:eastAsia="仿宋_GB2312" w:cs="仿宋_GB2312"/>
          <w:sz w:val="32"/>
          <w:szCs w:val="32"/>
          <w:highlight w:val="none"/>
        </w:rPr>
        <w:t>心根据北京市项目</w:t>
      </w:r>
      <w:r>
        <w:rPr>
          <w:rFonts w:hint="eastAsia" w:ascii="仿宋_GB2312" w:hAnsi="仿宋_GB2312" w:eastAsia="仿宋_GB2312" w:cs="仿宋_GB2312"/>
          <w:sz w:val="32"/>
          <w:szCs w:val="32"/>
        </w:rPr>
        <w:t>预算编制要求，制定项目实施方案、填报项目申报文本、绩效目标等材料，经内部审议通过后上报</w:t>
      </w:r>
      <w:r>
        <w:rPr>
          <w:rFonts w:hint="eastAsia" w:ascii="仿宋_GB2312" w:hAnsi="仿宋_GB2312" w:eastAsia="仿宋_GB2312" w:cs="仿宋_GB2312"/>
          <w:sz w:val="32"/>
          <w:szCs w:val="32"/>
          <w:lang w:val="en-US" w:eastAsia="zh-CN"/>
        </w:rPr>
        <w:t>开展</w:t>
      </w:r>
      <w:r>
        <w:rPr>
          <w:rFonts w:hint="eastAsia" w:ascii="仿宋_GB2312" w:hAnsi="仿宋_GB2312" w:eastAsia="仿宋_GB2312" w:cs="仿宋_GB2312"/>
          <w:sz w:val="32"/>
          <w:szCs w:val="32"/>
        </w:rPr>
        <w:t>预算评审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经过“两上”“两下”预算编制程序后，</w:t>
      </w:r>
      <w:r>
        <w:rPr>
          <w:rFonts w:hint="eastAsia" w:ascii="仿宋_GB2312" w:hAnsi="仿宋_GB2312" w:eastAsia="仿宋_GB2312" w:cs="仿宋_GB2312"/>
          <w:sz w:val="32"/>
          <w:szCs w:val="32"/>
          <w:lang w:val="en-US" w:eastAsia="zh-CN"/>
        </w:rPr>
        <w:t>根据程序</w:t>
      </w:r>
      <w:r>
        <w:rPr>
          <w:rFonts w:hint="eastAsia" w:ascii="仿宋_GB2312" w:hAnsi="仿宋_GB2312" w:eastAsia="仿宋_GB2312" w:cs="仿宋_GB2312"/>
          <w:sz w:val="32"/>
          <w:szCs w:val="32"/>
        </w:rPr>
        <w:t>逐级批复</w:t>
      </w:r>
      <w:r>
        <w:rPr>
          <w:rFonts w:hint="eastAsia" w:ascii="仿宋_GB2312" w:hAnsi="仿宋_GB2312" w:eastAsia="仿宋_GB2312" w:cs="仿宋_GB2312"/>
          <w:sz w:val="32"/>
          <w:szCs w:val="32"/>
          <w:lang w:val="en-US" w:eastAsia="zh-CN"/>
        </w:rPr>
        <w:t>预算</w:t>
      </w:r>
      <w:r>
        <w:rPr>
          <w:rFonts w:hint="eastAsia" w:ascii="仿宋_GB2312" w:hAnsi="仿宋_GB2312" w:eastAsia="仿宋_GB2312" w:cs="仿宋_GB2312"/>
          <w:sz w:val="32"/>
          <w:szCs w:val="32"/>
        </w:rPr>
        <w:t>。项目按照规定的程序申请设立，立项经过了必要的集体决策、资金评审，立项材料符合相关要求，立项程序较为规范。</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bookmarkStart w:id="48" w:name="_Toc35588412"/>
      <w:r>
        <w:rPr>
          <w:rFonts w:hint="eastAsia" w:ascii="仿宋_GB2312" w:hAnsi="仿宋_GB2312" w:eastAsia="仿宋_GB2312" w:cs="仿宋_GB2312"/>
          <w:bCs/>
          <w:sz w:val="32"/>
          <w:szCs w:val="32"/>
        </w:rPr>
        <w:t>2.绩效目标</w:t>
      </w:r>
      <w:bookmarkEnd w:id="48"/>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项目围绕党建强会计划、高校科协组织建设、聚力赋能行动三方面内容分别设定了绩效目标，能够突出科技社团服务中心承担本市科技类社会组织的联系服务及党建相关工作，承担北京老年科技工作者总会、北京反邪教协会的日常工作的职责，预期产出效益和效果符合正常业绩水平，与项目资金投入相适应，绩效目标设置较为合理。</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项目单位围绕项目绩效目标设置了涵盖数量、质量、时效、成本在内的产出指标和社会效益、满意度等效益指标，指标内容涵盖</w:t>
      </w:r>
      <w:r>
        <w:rPr>
          <w:rFonts w:hint="eastAsia" w:ascii="仿宋_GB2312" w:hAnsi="仿宋_GB2312" w:eastAsia="仿宋_GB2312" w:cs="仿宋_GB2312"/>
          <w:iCs/>
          <w:sz w:val="32"/>
          <w:szCs w:val="32"/>
        </w:rPr>
        <w:t>党建强会计划、高校科协组织建设、聚力赋能行动</w:t>
      </w:r>
      <w:r>
        <w:rPr>
          <w:rFonts w:hint="eastAsia" w:ascii="仿宋_GB2312" w:hAnsi="仿宋_GB2312" w:eastAsia="仿宋_GB2312" w:cs="仿宋_GB2312"/>
          <w:sz w:val="32"/>
          <w:szCs w:val="32"/>
        </w:rPr>
        <w:t>三方面工作内容，绩效指标体系完整。</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bookmarkStart w:id="49" w:name="_Toc35588413"/>
      <w:r>
        <w:rPr>
          <w:rFonts w:hint="eastAsia" w:ascii="仿宋_GB2312" w:hAnsi="仿宋_GB2312" w:eastAsia="仿宋_GB2312" w:cs="仿宋_GB2312"/>
          <w:bCs/>
          <w:sz w:val="32"/>
          <w:szCs w:val="32"/>
        </w:rPr>
        <w:t>3.资金投入</w:t>
      </w:r>
      <w:bookmarkEnd w:id="49"/>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（1）预算编制科学性</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科技社团服务中心参照北京市财政有关要求，结合预期工作量、市场价格调研、相关报价等，以“数量*单价”的形式编制了各子项内</w:t>
      </w:r>
      <w:r>
        <w:rPr>
          <w:rFonts w:hint="eastAsia" w:ascii="仿宋_GB2312" w:hAnsi="仿宋_GB2312" w:cs="仿宋_GB2312"/>
          <w:iCs/>
          <w:sz w:val="32"/>
          <w:szCs w:val="32"/>
          <w:lang w:eastAsia="zh-CN"/>
        </w:rPr>
        <w:t>容的</w:t>
      </w:r>
      <w:r>
        <w:rPr>
          <w:rFonts w:hint="eastAsia" w:ascii="仿宋_GB2312" w:hAnsi="仿宋_GB2312" w:eastAsia="仿宋_GB2312" w:cs="仿宋_GB2312"/>
          <w:iCs/>
          <w:sz w:val="32"/>
          <w:szCs w:val="32"/>
        </w:rPr>
        <w:t>预算明细，并上报至市科协。市科协</w:t>
      </w:r>
      <w:r>
        <w:rPr>
          <w:rFonts w:hint="eastAsia" w:ascii="仿宋_GB2312" w:hAnsi="仿宋_GB2312" w:eastAsia="仿宋_GB2312" w:cs="仿宋_GB2312"/>
          <w:iCs/>
          <w:sz w:val="32"/>
          <w:szCs w:val="32"/>
          <w:lang w:eastAsia="zh-CN"/>
        </w:rPr>
        <w:t>组织</w:t>
      </w:r>
      <w:r>
        <w:rPr>
          <w:rFonts w:hint="eastAsia" w:ascii="仿宋_GB2312" w:hAnsi="仿宋_GB2312" w:eastAsia="仿宋_GB2312" w:cs="仿宋_GB2312"/>
          <w:iCs/>
          <w:sz w:val="32"/>
          <w:szCs w:val="32"/>
        </w:rPr>
        <w:t>对项目预算进行评审，根据评审结果形成审定项目预算。</w:t>
      </w:r>
      <w:bookmarkStart w:id="50" w:name="OLE_LINK85"/>
    </w:p>
    <w:bookmarkEnd w:id="50"/>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2024年度该项目资金用于</w:t>
      </w:r>
      <w:r>
        <w:rPr>
          <w:rFonts w:hint="eastAsia" w:ascii="仿宋_GB2312" w:hAnsi="仿宋_GB2312" w:eastAsia="仿宋_GB2312" w:cs="仿宋_GB2312"/>
          <w:iCs/>
          <w:sz w:val="32"/>
          <w:szCs w:val="32"/>
        </w:rPr>
        <w:t>党建强会计划、高校科协组织建设、聚力赋能行动三方面工作。</w:t>
      </w:r>
      <w:r>
        <w:rPr>
          <w:rFonts w:hint="eastAsia" w:ascii="仿宋_GB2312" w:hAnsi="仿宋_GB2312" w:eastAsia="仿宋_GB2312" w:cs="仿宋_GB2312"/>
          <w:sz w:val="32"/>
          <w:szCs w:val="32"/>
        </w:rPr>
        <w:t>项目单位结合各项工作任务量、重要性程度及以往年度相关项目经费情况进行资金分配，资金分配较为合理。</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bookmarkStart w:id="51" w:name="_Toc200061846"/>
      <w:bookmarkStart w:id="52" w:name="_Toc167954305"/>
      <w:bookmarkStart w:id="53" w:name="_Toc35588414"/>
      <w:r>
        <w:rPr>
          <w:rFonts w:hint="eastAsia" w:ascii="楷体_GB2312" w:hAnsi="楷体_GB2312" w:eastAsia="楷体_GB2312" w:cs="楷体_GB2312"/>
          <w:kern w:val="0"/>
          <w:sz w:val="32"/>
          <w:szCs w:val="32"/>
        </w:rPr>
        <w:t>（二）项目过程情况</w:t>
      </w:r>
      <w:bookmarkEnd w:id="51"/>
      <w:bookmarkEnd w:id="52"/>
      <w:bookmarkEnd w:id="53"/>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r>
        <w:rPr>
          <w:rFonts w:hint="eastAsia" w:ascii="仿宋_GB2312" w:hAnsi="仿宋_GB2312" w:eastAsia="仿宋_GB2312" w:cs="仿宋_GB2312"/>
          <w:iCs/>
          <w:sz w:val="32"/>
          <w:szCs w:val="32"/>
        </w:rPr>
        <w:t>项目预算资金到位率100.00%，预算执行率为99.94</w:t>
      </w:r>
      <w:r>
        <w:rPr>
          <w:rFonts w:hint="eastAsia" w:ascii="仿宋_GB2312" w:hAnsi="仿宋_GB2312" w:eastAsia="仿宋_GB2312" w:cs="仿宋_GB2312"/>
          <w:iCs/>
          <w:kern w:val="0"/>
          <w:sz w:val="32"/>
          <w:szCs w:val="32"/>
        </w:rPr>
        <w:t>%</w:t>
      </w:r>
      <w:r>
        <w:rPr>
          <w:rFonts w:hint="eastAsia" w:ascii="仿宋_GB2312" w:hAnsi="仿宋_GB2312" w:eastAsia="仿宋_GB2312" w:cs="仿宋_GB2312"/>
          <w:iCs/>
          <w:sz w:val="32"/>
          <w:szCs w:val="32"/>
        </w:rPr>
        <w:t>，资金使用较为合法合规，项目业务制度较为健全，</w:t>
      </w:r>
      <w:r>
        <w:rPr>
          <w:rFonts w:hint="eastAsia" w:ascii="仿宋_GB2312" w:hAnsi="仿宋_GB2312" w:eastAsia="仿宋_GB2312" w:cs="仿宋_GB2312"/>
          <w:sz w:val="32"/>
          <w:szCs w:val="32"/>
        </w:rPr>
        <w:t>项目合同书、总结报告成果等资料比较齐全</w:t>
      </w:r>
      <w:r>
        <w:rPr>
          <w:rFonts w:hint="eastAsia" w:ascii="仿宋_GB2312" w:hAnsi="仿宋_GB2312" w:eastAsia="仿宋_GB2312" w:cs="仿宋_GB2312"/>
          <w:iCs/>
          <w:sz w:val="32"/>
          <w:szCs w:val="32"/>
        </w:rPr>
        <w:t>。该指标分值20分，得分18.30分，得分率91.50%。</w:t>
      </w:r>
      <w:bookmarkStart w:id="54" w:name="_Toc35588415"/>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1.资金管理</w:t>
      </w:r>
      <w:bookmarkEnd w:id="54"/>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iCs/>
          <w:kern w:val="0"/>
          <w:sz w:val="32"/>
          <w:szCs w:val="32"/>
        </w:rPr>
      </w:pPr>
      <w:r>
        <w:rPr>
          <w:rFonts w:hint="eastAsia" w:ascii="仿宋_GB2312" w:hAnsi="仿宋_GB2312" w:eastAsia="仿宋_GB2312" w:cs="仿宋_GB2312"/>
          <w:iCs/>
          <w:kern w:val="0"/>
          <w:sz w:val="32"/>
          <w:szCs w:val="32"/>
        </w:rPr>
        <w:t>（1）资金到位率、预算执行率</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iCs/>
          <w:kern w:val="0"/>
          <w:sz w:val="32"/>
          <w:szCs w:val="32"/>
        </w:rPr>
      </w:pPr>
      <w:r>
        <w:rPr>
          <w:rFonts w:hint="eastAsia" w:ascii="仿宋_GB2312" w:hAnsi="仿宋_GB2312" w:eastAsia="仿宋_GB2312" w:cs="仿宋_GB2312"/>
          <w:iCs/>
          <w:kern w:val="0"/>
          <w:sz w:val="32"/>
          <w:szCs w:val="32"/>
        </w:rPr>
        <w:t>2024年度，</w:t>
      </w:r>
      <w:r>
        <w:rPr>
          <w:rFonts w:hint="eastAsia" w:ascii="仿宋_GB2312" w:hAnsi="仿宋_GB2312" w:eastAsia="仿宋_GB2312" w:cs="仿宋_GB2312"/>
          <w:kern w:val="0"/>
          <w:sz w:val="32"/>
          <w:szCs w:val="32"/>
          <w:lang w:bidi="zh-CN"/>
        </w:rPr>
        <w:t>该项目年初预算批复总额为</w:t>
      </w:r>
      <w:r>
        <w:rPr>
          <w:rFonts w:hint="eastAsia" w:ascii="仿宋_GB2312" w:hAnsi="仿宋_GB2312" w:eastAsia="仿宋_GB2312" w:cs="仿宋_GB2312"/>
          <w:iCs/>
          <w:kern w:val="0"/>
          <w:sz w:val="32"/>
          <w:szCs w:val="32"/>
        </w:rPr>
        <w:t>858.00</w:t>
      </w:r>
      <w:r>
        <w:rPr>
          <w:rFonts w:hint="eastAsia" w:ascii="仿宋_GB2312" w:hAnsi="仿宋_GB2312" w:eastAsia="仿宋_GB2312" w:cs="仿宋_GB2312"/>
          <w:kern w:val="0"/>
          <w:sz w:val="32"/>
          <w:szCs w:val="32"/>
          <w:lang w:bidi="zh-CN"/>
        </w:rPr>
        <w:t>万元，均为当年财政拨款，年中无预算调整。</w:t>
      </w:r>
      <w:r>
        <w:rPr>
          <w:rFonts w:hint="eastAsia" w:ascii="仿宋_GB2312" w:hAnsi="仿宋_GB2312" w:eastAsia="仿宋_GB2312" w:cs="仿宋_GB2312"/>
          <w:kern w:val="0"/>
          <w:sz w:val="32"/>
          <w:szCs w:val="32"/>
          <w:lang w:val="en-US" w:bidi="zh-CN"/>
        </w:rPr>
        <w:t>按照2024年预算批复</w:t>
      </w:r>
      <w:r>
        <w:rPr>
          <w:rFonts w:hint="eastAsia" w:ascii="仿宋_GB2312" w:hAnsi="仿宋_GB2312" w:eastAsia="仿宋_GB2312" w:cs="仿宋_GB2312"/>
          <w:iCs/>
          <w:kern w:val="0"/>
          <w:sz w:val="32"/>
          <w:szCs w:val="32"/>
        </w:rPr>
        <w:t>，资金到位及时，到位率为100.00%，能够保证项目顺利开展。</w:t>
      </w:r>
      <w:r>
        <w:rPr>
          <w:rFonts w:hint="eastAsia" w:ascii="仿宋_GB2312" w:hAnsi="仿宋_GB2312" w:eastAsia="仿宋_GB2312" w:cs="仿宋_GB2312"/>
          <w:kern w:val="0"/>
          <w:sz w:val="32"/>
          <w:szCs w:val="32"/>
          <w:lang w:bidi="zh-CN"/>
        </w:rPr>
        <w:t>截至</w:t>
      </w:r>
      <w:r>
        <w:rPr>
          <w:rFonts w:hint="eastAsia" w:ascii="仿宋_GB2312" w:hAnsi="仿宋_GB2312" w:eastAsia="仿宋_GB2312" w:cs="仿宋_GB2312"/>
          <w:iCs/>
          <w:kern w:val="0"/>
          <w:sz w:val="32"/>
          <w:szCs w:val="32"/>
        </w:rPr>
        <w:t>2024年12月31日，项目实际支出857.47万元，预算执行率为99.94%。</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（2）资金使用合规性</w:t>
      </w:r>
    </w:p>
    <w:p>
      <w:pPr>
        <w:keepNext w:val="0"/>
        <w:keepLines w:val="0"/>
        <w:kinsoku/>
        <w:wordWrap/>
        <w:overflowPunct/>
        <w:topLinePunct w:val="0"/>
        <w:autoSpaceDE w:val="0"/>
        <w:autoSpaceDN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bidi="zh-CN"/>
        </w:rPr>
        <w:t>科技社团服务中心根据单位经费支出管理办法、合同管理办法等进行资金使用和财务管控，以政府采购服务形式开展项目具体工作，通过公开遴选、三方比价、征集评审等形式确定支持单位，资金单独核算、专款专用，项目支出有完整的审批程序与手续，发票、合同等原始凭证真实、规范、完整</w:t>
      </w:r>
      <w:r>
        <w:rPr>
          <w:rFonts w:hint="eastAsia" w:ascii="仿宋_GB2312" w:hAnsi="仿宋_GB2312" w:eastAsia="仿宋_GB2312" w:cs="仿宋_GB2312"/>
          <w:sz w:val="32"/>
          <w:szCs w:val="32"/>
        </w:rPr>
        <w:t>。</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bookmarkStart w:id="55" w:name="_Toc35588416"/>
      <w:r>
        <w:rPr>
          <w:rFonts w:hint="eastAsia" w:ascii="仿宋_GB2312" w:hAnsi="仿宋_GB2312" w:eastAsia="仿宋_GB2312" w:cs="仿宋_GB2312"/>
          <w:sz w:val="32"/>
          <w:szCs w:val="32"/>
        </w:rPr>
        <w:t>2.组织实施</w:t>
      </w:r>
      <w:bookmarkEnd w:id="55"/>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iCs/>
          <w:kern w:val="0"/>
          <w:sz w:val="32"/>
          <w:szCs w:val="32"/>
        </w:rPr>
      </w:pPr>
      <w:r>
        <w:rPr>
          <w:rFonts w:hint="eastAsia" w:ascii="仿宋_GB2312" w:hAnsi="仿宋_GB2312" w:eastAsia="仿宋_GB2312" w:cs="仿宋_GB2312"/>
          <w:iCs/>
          <w:kern w:val="0"/>
          <w:sz w:val="32"/>
          <w:szCs w:val="32"/>
        </w:rPr>
        <w:t>（1）管理制度健全性</w:t>
      </w:r>
    </w:p>
    <w:p>
      <w:pPr>
        <w:keepNext w:val="0"/>
        <w:keepLines w:val="0"/>
        <w:kinsoku/>
        <w:wordWrap/>
        <w:overflowPunct/>
        <w:topLinePunct w:val="0"/>
        <w:bidi w:val="0"/>
        <w:adjustRightInd w:val="0"/>
        <w:snapToGrid w:val="0"/>
        <w:spacing w:line="560" w:lineRule="exact"/>
        <w:ind w:firstLine="643" w:firstLineChars="200"/>
        <w:jc w:val="both"/>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
          <w:sz w:val="32"/>
          <w:szCs w:val="32"/>
        </w:rPr>
        <w:t>财务管理制度方面。</w:t>
      </w:r>
      <w:r>
        <w:rPr>
          <w:rFonts w:hint="eastAsia" w:ascii="仿宋_GB2312" w:hAnsi="仿宋_GB2312" w:eastAsia="仿宋_GB2312" w:cs="仿宋_GB2312"/>
          <w:sz w:val="32"/>
          <w:szCs w:val="32"/>
        </w:rPr>
        <w:t>项目执行依据</w:t>
      </w:r>
      <w:r>
        <w:rPr>
          <w:rFonts w:hint="eastAsia" w:ascii="仿宋_GB2312" w:hAnsi="仿宋_GB2312" w:eastAsia="仿宋_GB2312" w:cs="仿宋_GB2312"/>
          <w:bCs/>
          <w:kern w:val="0"/>
          <w:sz w:val="32"/>
          <w:szCs w:val="32"/>
        </w:rPr>
        <w:t>科技社团服务中心</w:t>
      </w:r>
      <w:r>
        <w:rPr>
          <w:rFonts w:hint="eastAsia" w:ascii="仿宋_GB2312" w:hAnsi="仿宋_GB2312" w:eastAsia="仿宋_GB2312" w:cs="仿宋_GB2312"/>
          <w:bCs/>
          <w:kern w:val="0"/>
          <w:sz w:val="32"/>
          <w:szCs w:val="32"/>
          <w:lang w:val="en-US" w:eastAsia="zh-CN"/>
        </w:rPr>
        <w:t>内部</w:t>
      </w:r>
      <w:r>
        <w:rPr>
          <w:rFonts w:hint="eastAsia" w:ascii="仿宋_GB2312" w:hAnsi="仿宋_GB2312" w:eastAsia="仿宋_GB2312" w:cs="仿宋_GB2312"/>
          <w:bCs/>
          <w:kern w:val="0"/>
          <w:sz w:val="32"/>
          <w:szCs w:val="32"/>
        </w:rPr>
        <w:t>财务管理制度，包含采购管理、合同签订、资金支出等各方面，项目单位的财务管理制度较为健全，能够规范财务和经济行为，为提高预算收支精细化管理水平提供制度支撑</w:t>
      </w:r>
      <w:bookmarkStart w:id="56" w:name="OLE_LINK51"/>
      <w:bookmarkStart w:id="57" w:name="OLE_LINK52"/>
      <w:r>
        <w:rPr>
          <w:rFonts w:hint="eastAsia" w:ascii="仿宋_GB2312" w:hAnsi="仿宋_GB2312" w:eastAsia="仿宋_GB2312" w:cs="仿宋_GB2312"/>
          <w:bCs/>
          <w:kern w:val="0"/>
          <w:sz w:val="32"/>
          <w:szCs w:val="32"/>
        </w:rPr>
        <w:t>。</w:t>
      </w:r>
    </w:p>
    <w:bookmarkEnd w:id="56"/>
    <w:bookmarkEnd w:id="57"/>
    <w:p>
      <w:pPr>
        <w:keepNext w:val="0"/>
        <w:keepLines w:val="0"/>
        <w:kinsoku/>
        <w:wordWrap/>
        <w:overflowPunct/>
        <w:topLinePunct w:val="0"/>
        <w:bidi w:val="0"/>
        <w:adjustRightInd w:val="0"/>
        <w:snapToGrid w:val="0"/>
        <w:spacing w:line="560" w:lineRule="exact"/>
        <w:ind w:firstLine="643"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业务管理制度方面</w:t>
      </w:r>
      <w:r>
        <w:rPr>
          <w:rFonts w:hint="eastAsia" w:ascii="仿宋_GB2312" w:hAnsi="仿宋_GB2312" w:eastAsia="仿宋_GB2312" w:cs="仿宋_GB2312"/>
          <w:sz w:val="32"/>
          <w:szCs w:val="32"/>
        </w:rPr>
        <w:t>。项目遵循项目管理办法相关规定实施，该制度对项目管理流程、基本规范及工作原则等进行了系统化、标准化的详细规定，为科技社团服务中心高质量推进组织建设工作提供了制度保障和规范化依据。</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（2）制度执行有效性</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该项目各项工作开展整体上按照科技社团</w:t>
      </w:r>
      <w:r>
        <w:rPr>
          <w:rFonts w:hint="eastAsia" w:ascii="仿宋_GB2312" w:hAnsi="仿宋_GB2312" w:eastAsia="仿宋_GB2312" w:cs="仿宋_GB2312"/>
          <w:bCs/>
          <w:kern w:val="0"/>
          <w:sz w:val="32"/>
          <w:szCs w:val="32"/>
        </w:rPr>
        <w:t>服务中心相关业务及</w:t>
      </w:r>
      <w:r>
        <w:rPr>
          <w:rFonts w:hint="eastAsia" w:ascii="仿宋_GB2312" w:hAnsi="仿宋_GB2312" w:eastAsia="仿宋_GB2312" w:cs="仿宋_GB2312"/>
          <w:sz w:val="32"/>
          <w:szCs w:val="32"/>
        </w:rPr>
        <w:t>财务管理规定执行，与活动承接方合同及协议的签订均由专业律师事务所审核，约定了工作内容、资金费用、双方责任与义务等具体信息；项目合同书、项目过程管理留痕、总结材料等较为齐全；该项目由科技社团</w:t>
      </w:r>
      <w:r>
        <w:rPr>
          <w:rFonts w:hint="eastAsia" w:ascii="仿宋_GB2312" w:hAnsi="仿宋_GB2312" w:eastAsia="仿宋_GB2312" w:cs="仿宋_GB2312"/>
          <w:bCs/>
          <w:kern w:val="0"/>
          <w:sz w:val="32"/>
          <w:szCs w:val="32"/>
        </w:rPr>
        <w:t>服务中心</w:t>
      </w:r>
      <w:r>
        <w:rPr>
          <w:rFonts w:hint="eastAsia" w:ascii="仿宋_GB2312" w:hAnsi="仿宋_GB2312" w:eastAsia="仿宋_GB2312" w:cs="仿宋_GB2312"/>
          <w:bCs/>
          <w:kern w:val="0"/>
          <w:sz w:val="32"/>
          <w:szCs w:val="32"/>
          <w:lang w:val="en-US" w:eastAsia="zh-CN"/>
        </w:rPr>
        <w:t>内部相关部门</w:t>
      </w:r>
      <w:r>
        <w:rPr>
          <w:rFonts w:hint="eastAsia" w:ascii="仿宋_GB2312" w:hAnsi="仿宋_GB2312" w:eastAsia="仿宋_GB2312" w:cs="仿宋_GB2312"/>
          <w:sz w:val="32"/>
          <w:szCs w:val="32"/>
        </w:rPr>
        <w:t>共同负责具体实施，项目人员组织架构健全、人员分工职责明确</w:t>
      </w:r>
      <w:bookmarkStart w:id="58" w:name="OLE_LINK32"/>
      <w:bookmarkStart w:id="59" w:name="OLE_LINK33"/>
      <w:r>
        <w:rPr>
          <w:rFonts w:hint="eastAsia" w:ascii="仿宋_GB2312" w:hAnsi="仿宋_GB2312" w:eastAsia="仿宋_GB2312" w:cs="仿宋_GB2312"/>
          <w:sz w:val="32"/>
          <w:szCs w:val="32"/>
        </w:rPr>
        <w:t>。</w:t>
      </w:r>
    </w:p>
    <w:bookmarkEnd w:id="58"/>
    <w:bookmarkEnd w:id="59"/>
    <w:p>
      <w:pPr>
        <w:keepNext w:val="0"/>
        <w:keepLines w:val="0"/>
        <w:kinsoku/>
        <w:wordWrap/>
        <w:overflowPunct/>
        <w:topLinePunct w:val="0"/>
        <w:autoSpaceDE w:val="0"/>
        <w:autoSpaceDN w:val="0"/>
        <w:bidi w:val="0"/>
        <w:adjustRightInd w:val="0"/>
        <w:snapToGrid w:val="0"/>
        <w:spacing w:line="560" w:lineRule="exact"/>
        <w:ind w:firstLine="640" w:firstLineChars="200"/>
        <w:jc w:val="both"/>
        <w:outlineLvl w:val="9"/>
        <w:rPr>
          <w:rFonts w:hint="eastAsia" w:ascii="仿宋_GB2312" w:hAnsi="仿宋_GB2312" w:eastAsia="仿宋_GB2312" w:cs="仿宋_GB2312"/>
          <w:kern w:val="0"/>
          <w:sz w:val="32"/>
          <w:szCs w:val="32"/>
        </w:rPr>
      </w:pPr>
      <w:bookmarkStart w:id="60" w:name="_Toc200061847"/>
      <w:bookmarkStart w:id="61" w:name="_Toc103790698"/>
      <w:bookmarkStart w:id="62" w:name="_Toc35588417"/>
      <w:bookmarkStart w:id="63" w:name="_Toc167954306"/>
      <w:r>
        <w:rPr>
          <w:rFonts w:hint="eastAsia" w:ascii="楷体_GB2312" w:hAnsi="楷体_GB2312" w:eastAsia="楷体_GB2312" w:cs="楷体_GB2312"/>
          <w:kern w:val="0"/>
          <w:sz w:val="32"/>
          <w:szCs w:val="32"/>
        </w:rPr>
        <w:t>（三）项目产出情况</w:t>
      </w:r>
      <w:bookmarkEnd w:id="60"/>
      <w:bookmarkEnd w:id="61"/>
      <w:bookmarkEnd w:id="62"/>
      <w:bookmarkEnd w:id="63"/>
      <w:r>
        <w:rPr>
          <w:rFonts w:hint="eastAsia" w:ascii="楷体_GB2312" w:hAnsi="楷体_GB2312" w:eastAsia="楷体_GB2312" w:cs="楷体_GB2312"/>
          <w:kern w:val="0"/>
          <w:sz w:val="32"/>
          <w:szCs w:val="32"/>
        </w:rPr>
        <w:t xml:space="preserve"> </w:t>
      </w:r>
      <w:r>
        <w:rPr>
          <w:rFonts w:hint="eastAsia" w:ascii="仿宋_GB2312" w:hAnsi="仿宋_GB2312" w:eastAsia="仿宋_GB2312" w:cs="仿宋_GB2312"/>
          <w:kern w:val="0"/>
          <w:sz w:val="32"/>
          <w:szCs w:val="32"/>
        </w:rPr>
        <w:t xml:space="preserve">  </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
          <w:bCs/>
          <w:sz w:val="32"/>
          <w:szCs w:val="32"/>
        </w:rPr>
      </w:pPr>
      <w:r>
        <w:rPr>
          <w:rFonts w:hint="eastAsia" w:ascii="仿宋_GB2312" w:hAnsi="仿宋_GB2312" w:eastAsia="仿宋_GB2312" w:cs="仿宋_GB2312"/>
          <w:iCs/>
          <w:kern w:val="0"/>
          <w:sz w:val="32"/>
          <w:szCs w:val="32"/>
        </w:rPr>
        <w:t>截至2024年12月31日，</w:t>
      </w:r>
      <w:r>
        <w:rPr>
          <w:rFonts w:hint="eastAsia" w:ascii="仿宋_GB2312" w:hAnsi="仿宋_GB2312" w:eastAsia="仿宋_GB2312" w:cs="仿宋_GB2312"/>
          <w:iCs/>
          <w:sz w:val="32"/>
          <w:szCs w:val="32"/>
        </w:rPr>
        <w:t>项目年度主要产出基本按照预期目标完成，产出质量情况较好。该指标分值40分，得分34.60分，得分率86.50%。</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bookmarkStart w:id="64" w:name="_Toc35588418"/>
      <w:r>
        <w:rPr>
          <w:rFonts w:hint="eastAsia" w:ascii="仿宋_GB2312" w:hAnsi="仿宋_GB2312" w:eastAsia="仿宋_GB2312" w:cs="仿宋_GB2312"/>
          <w:bCs/>
          <w:sz w:val="32"/>
          <w:szCs w:val="32"/>
        </w:rPr>
        <w:t>1.产出数量</w:t>
      </w:r>
      <w:bookmarkEnd w:id="64"/>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项目产出成果包括党建强会计划、高校科协组织建设、聚力赋能行动工作三方面的内容。在</w:t>
      </w:r>
      <w:bookmarkStart w:id="65" w:name="OLE_LINK48"/>
      <w:r>
        <w:rPr>
          <w:rFonts w:hint="eastAsia" w:ascii="仿宋_GB2312" w:hAnsi="仿宋_GB2312" w:eastAsia="仿宋_GB2312" w:cs="仿宋_GB2312"/>
          <w:sz w:val="32"/>
          <w:szCs w:val="32"/>
        </w:rPr>
        <w:t>党建强会计划方面</w:t>
      </w:r>
      <w:bookmarkEnd w:id="65"/>
      <w:r>
        <w:rPr>
          <w:rFonts w:hint="eastAsia" w:ascii="仿宋_GB2312" w:hAnsi="仿宋_GB2312" w:eastAsia="仿宋_GB2312" w:cs="仿宋_GB2312"/>
          <w:sz w:val="32"/>
          <w:szCs w:val="32"/>
        </w:rPr>
        <w:t>，完成了创新争先系列活动、首都科技社团发展评估、科技社团监督管理、</w:t>
      </w:r>
      <w:r>
        <w:rPr>
          <w:rFonts w:hint="eastAsia" w:ascii="仿宋_GB2312" w:hAnsi="仿宋_GB2312" w:cs="仿宋_GB2312"/>
          <w:sz w:val="32"/>
          <w:szCs w:val="32"/>
          <w:lang w:eastAsia="zh-CN"/>
        </w:rPr>
        <w:t>基层党支部</w:t>
      </w:r>
      <w:r>
        <w:rPr>
          <w:rFonts w:hint="eastAsia" w:ascii="仿宋_GB2312" w:hAnsi="仿宋_GB2312" w:eastAsia="仿宋_GB2312" w:cs="仿宋_GB2312"/>
          <w:sz w:val="32"/>
          <w:szCs w:val="32"/>
        </w:rPr>
        <w:t>建设4项工作。</w:t>
      </w:r>
      <w:bookmarkStart w:id="66" w:name="OLE_LINK49"/>
      <w:r>
        <w:rPr>
          <w:rFonts w:hint="eastAsia" w:ascii="仿宋_GB2312" w:hAnsi="仿宋_GB2312" w:eastAsia="仿宋_GB2312" w:cs="仿宋_GB2312"/>
          <w:sz w:val="32"/>
          <w:szCs w:val="32"/>
        </w:rPr>
        <w:t>高校科协组织建设方面</w:t>
      </w:r>
      <w:bookmarkEnd w:id="66"/>
      <w:r>
        <w:rPr>
          <w:rFonts w:hint="eastAsia" w:ascii="仿宋_GB2312" w:hAnsi="仿宋_GB2312" w:eastAsia="仿宋_GB2312" w:cs="仿宋_GB2312"/>
          <w:sz w:val="32"/>
          <w:szCs w:val="32"/>
        </w:rPr>
        <w:t>，完成了基层组织科技成果展示创新推介、基层组织品牌孵化、基层组织交流研讨3项工作；在聚力赋能行动方面，完成了聚力赋能交流研讨活动、科技创新协同行动（对外援建行动）、助力基层社会治理行动3项工作，2024年度项目工作基本完成。</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bookmarkStart w:id="67" w:name="_Toc35588419"/>
      <w:r>
        <w:rPr>
          <w:rFonts w:hint="eastAsia" w:ascii="仿宋_GB2312" w:hAnsi="仿宋_GB2312" w:eastAsia="仿宋_GB2312" w:cs="仿宋_GB2312"/>
          <w:bCs/>
          <w:sz w:val="32"/>
          <w:szCs w:val="32"/>
        </w:rPr>
        <w:t>2.产出质量</w:t>
      </w:r>
      <w:bookmarkEnd w:id="67"/>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iCs/>
          <w:kern w:val="0"/>
          <w:sz w:val="32"/>
          <w:szCs w:val="32"/>
        </w:rPr>
      </w:pPr>
      <w:r>
        <w:rPr>
          <w:rFonts w:hint="eastAsia" w:ascii="仿宋_GB2312" w:hAnsi="仿宋_GB2312" w:eastAsia="仿宋_GB2312" w:cs="仿宋_GB2312"/>
          <w:sz w:val="32"/>
          <w:szCs w:val="32"/>
        </w:rPr>
        <w:t>项目实施过程中，科技社团</w:t>
      </w:r>
      <w:r>
        <w:rPr>
          <w:rFonts w:hint="eastAsia" w:ascii="仿宋_GB2312" w:hAnsi="仿宋_GB2312" w:eastAsia="仿宋_GB2312" w:cs="仿宋_GB2312"/>
          <w:bCs/>
          <w:kern w:val="0"/>
          <w:sz w:val="32"/>
          <w:szCs w:val="32"/>
        </w:rPr>
        <w:t>服务中心</w:t>
      </w:r>
      <w:r>
        <w:rPr>
          <w:rFonts w:hint="eastAsia" w:ascii="仿宋_GB2312" w:hAnsi="仿宋_GB2312" w:eastAsia="仿宋_GB2312" w:cs="仿宋_GB2312"/>
          <w:iCs/>
          <w:kern w:val="0"/>
          <w:sz w:val="32"/>
          <w:szCs w:val="32"/>
        </w:rPr>
        <w:t>采取了一定的质量管控措施，一定程度上保证了项目实施质量。一是</w:t>
      </w:r>
      <w:r>
        <w:rPr>
          <w:rFonts w:hint="eastAsia" w:ascii="仿宋_GB2312" w:hAnsi="仿宋_GB2312" w:eastAsia="仿宋_GB2312" w:cs="仿宋_GB2312"/>
          <w:sz w:val="32"/>
          <w:szCs w:val="32"/>
        </w:rPr>
        <w:t>党建强会计划方面，</w:t>
      </w:r>
      <w:r>
        <w:rPr>
          <w:rFonts w:hint="eastAsia" w:ascii="仿宋_GB2312" w:hAnsi="仿宋_GB2312" w:eastAsia="仿宋_GB2312" w:cs="仿宋_GB2312"/>
          <w:iCs/>
          <w:kern w:val="0"/>
          <w:sz w:val="32"/>
          <w:szCs w:val="32"/>
        </w:rPr>
        <w:t>实现基层党员100%参与，受益36人次；围绕党建检查、风险防控等主题组织线下培训580人次。二是</w:t>
      </w:r>
      <w:r>
        <w:rPr>
          <w:rFonts w:hint="eastAsia" w:ascii="仿宋_GB2312" w:hAnsi="仿宋_GB2312" w:eastAsia="仿宋_GB2312" w:cs="仿宋_GB2312"/>
          <w:sz w:val="32"/>
          <w:szCs w:val="32"/>
        </w:rPr>
        <w:t>高校科协组织建设方面，</w:t>
      </w:r>
      <w:r>
        <w:rPr>
          <w:rFonts w:hint="eastAsia" w:ascii="仿宋_GB2312" w:hAnsi="仿宋_GB2312" w:eastAsia="仿宋_GB2312" w:cs="仿宋_GB2312"/>
          <w:iCs/>
          <w:kern w:val="0"/>
          <w:sz w:val="32"/>
          <w:szCs w:val="32"/>
        </w:rPr>
        <w:t>联动70家高校及科研院所科协，其中58家参与北京高校科协联盟，参与率达100%；促进科技创新，组织33家科协单位征集项目268个，开展活动吸引青年科技工作者1000余人次，线上线下参与人数达8.16万人次；品牌孵化活动覆盖126家单位，受益51.26万人次。三是</w:t>
      </w:r>
      <w:r>
        <w:rPr>
          <w:rFonts w:hint="eastAsia" w:ascii="仿宋_GB2312" w:hAnsi="仿宋_GB2312" w:eastAsia="仿宋_GB2312" w:cs="仿宋_GB2312"/>
          <w:sz w:val="32"/>
          <w:szCs w:val="32"/>
        </w:rPr>
        <w:t>聚力赋能行动方面，</w:t>
      </w:r>
      <w:r>
        <w:rPr>
          <w:rFonts w:hint="eastAsia" w:ascii="仿宋_GB2312" w:hAnsi="仿宋_GB2312" w:eastAsia="仿宋_GB2312" w:cs="仿宋_GB2312"/>
          <w:iCs/>
          <w:kern w:val="0"/>
          <w:sz w:val="32"/>
          <w:szCs w:val="32"/>
        </w:rPr>
        <w:t>深化产学研合作，联动30余家全国学会，促成北大-石家庄科技合作课题11项，发布专利开放许可108项；创新科普形式，“科学新生活”反邪教答题活动吸引近12.6万人次参与。</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bookmarkStart w:id="68" w:name="_Toc35588420"/>
      <w:r>
        <w:rPr>
          <w:rFonts w:hint="eastAsia" w:ascii="仿宋_GB2312" w:hAnsi="仿宋_GB2312" w:eastAsia="仿宋_GB2312" w:cs="仿宋_GB2312"/>
          <w:bCs/>
          <w:sz w:val="32"/>
          <w:szCs w:val="32"/>
        </w:rPr>
        <w:t>3.产出时效</w:t>
      </w:r>
      <w:bookmarkEnd w:id="68"/>
    </w:p>
    <w:p>
      <w:pPr>
        <w:keepNext w:val="0"/>
        <w:keepLines w:val="0"/>
        <w:kinsoku/>
        <w:wordWrap/>
        <w:overflowPunct/>
        <w:topLinePunct w:val="0"/>
        <w:autoSpaceDE w:val="0"/>
        <w:autoSpaceDN w:val="0"/>
        <w:bidi w:val="0"/>
        <w:adjustRightInd w:val="0"/>
        <w:snapToGrid w:val="0"/>
        <w:spacing w:line="560" w:lineRule="exact"/>
        <w:ind w:firstLine="640" w:firstLineChars="200"/>
        <w:jc w:val="both"/>
        <w:outlineLvl w:val="9"/>
        <w:rPr>
          <w:rFonts w:hint="eastAsia" w:ascii="仿宋_GB2312" w:hAnsi="仿宋_GB2312" w:eastAsia="仿宋_GB2312" w:cs="仿宋_GB2312"/>
          <w:iCs/>
          <w:kern w:val="0"/>
          <w:sz w:val="32"/>
          <w:szCs w:val="32"/>
          <w:highlight w:val="yellow"/>
        </w:rPr>
      </w:pPr>
      <w:bookmarkStart w:id="69" w:name="OLE_LINK59"/>
      <w:bookmarkStart w:id="70" w:name="OLE_LINK58"/>
      <w:r>
        <w:rPr>
          <w:rFonts w:hint="eastAsia" w:ascii="仿宋_GB2312" w:hAnsi="仿宋_GB2312" w:eastAsia="仿宋_GB2312" w:cs="仿宋_GB2312"/>
          <w:iCs/>
          <w:kern w:val="0"/>
          <w:sz w:val="32"/>
          <w:szCs w:val="32"/>
        </w:rPr>
        <w:t>项目部分工作任务的产出时效性有待提升。</w:t>
      </w:r>
      <w:r>
        <w:rPr>
          <w:rFonts w:hint="eastAsia" w:ascii="仿宋_GB2312" w:hAnsi="仿宋_GB2312" w:eastAsia="仿宋_GB2312" w:cs="仿宋_GB2312"/>
          <w:iCs/>
          <w:kern w:val="0"/>
          <w:sz w:val="32"/>
          <w:szCs w:val="32"/>
          <w:lang w:eastAsia="zh-CN"/>
        </w:rPr>
        <w:t>如：</w:t>
      </w:r>
      <w:r>
        <w:rPr>
          <w:rFonts w:hint="eastAsia" w:ascii="仿宋_GB2312" w:hAnsi="仿宋_GB2312" w:eastAsia="仿宋_GB2312" w:cs="仿宋_GB2312"/>
          <w:iCs/>
          <w:kern w:val="0"/>
          <w:sz w:val="32"/>
          <w:szCs w:val="32"/>
        </w:rPr>
        <w:t>部分工作任务实施进度略为滞后。</w:t>
      </w:r>
      <w:bookmarkEnd w:id="69"/>
      <w:bookmarkEnd w:id="70"/>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bCs/>
          <w:sz w:val="32"/>
          <w:szCs w:val="32"/>
        </w:rPr>
      </w:pPr>
      <w:bookmarkStart w:id="71" w:name="_Toc35588421"/>
      <w:r>
        <w:rPr>
          <w:rFonts w:hint="eastAsia" w:ascii="仿宋_GB2312" w:hAnsi="仿宋_GB2312" w:eastAsia="仿宋_GB2312" w:cs="仿宋_GB2312"/>
          <w:bCs/>
          <w:sz w:val="32"/>
          <w:szCs w:val="32"/>
        </w:rPr>
        <w:t>4.产出成本</w:t>
      </w:r>
      <w:bookmarkEnd w:id="71"/>
    </w:p>
    <w:p>
      <w:pPr>
        <w:keepNext w:val="0"/>
        <w:keepLines w:val="0"/>
        <w:kinsoku/>
        <w:wordWrap/>
        <w:overflowPunct/>
        <w:topLinePunct w:val="0"/>
        <w:autoSpaceDE w:val="0"/>
        <w:autoSpaceDN w:val="0"/>
        <w:bidi w:val="0"/>
        <w:adjustRightInd w:val="0"/>
        <w:snapToGrid w:val="0"/>
        <w:spacing w:line="560" w:lineRule="exact"/>
        <w:ind w:firstLine="640" w:firstLineChars="200"/>
        <w:jc w:val="both"/>
        <w:outlineLvl w:val="9"/>
        <w:rPr>
          <w:rFonts w:hint="eastAsia" w:ascii="仿宋_GB2312" w:hAnsi="仿宋_GB2312" w:eastAsia="仿宋_GB2312" w:cs="仿宋_GB2312"/>
          <w:iCs/>
          <w:kern w:val="0"/>
          <w:sz w:val="32"/>
          <w:szCs w:val="32"/>
          <w:highlight w:val="yellow"/>
        </w:rPr>
      </w:pPr>
      <w:r>
        <w:rPr>
          <w:rFonts w:hint="eastAsia" w:ascii="仿宋_GB2312" w:hAnsi="仿宋_GB2312" w:eastAsia="仿宋_GB2312" w:cs="仿宋_GB2312"/>
          <w:iCs/>
          <w:kern w:val="0"/>
          <w:sz w:val="32"/>
          <w:szCs w:val="32"/>
        </w:rPr>
        <w:t>项目单位参照市场价格</w:t>
      </w:r>
      <w:r>
        <w:rPr>
          <w:rFonts w:hint="eastAsia" w:ascii="仿宋_GB2312" w:hAnsi="仿宋_GB2312" w:cs="仿宋_GB2312"/>
          <w:iCs/>
          <w:kern w:val="0"/>
          <w:sz w:val="32"/>
          <w:szCs w:val="32"/>
          <w:lang w:eastAsia="zh-CN"/>
        </w:rPr>
        <w:t>和第</w:t>
      </w:r>
      <w:r>
        <w:rPr>
          <w:rFonts w:hint="eastAsia" w:ascii="仿宋_GB2312" w:hAnsi="仿宋_GB2312" w:eastAsia="仿宋_GB2312" w:cs="仿宋_GB2312"/>
          <w:iCs/>
          <w:kern w:val="0"/>
          <w:sz w:val="32"/>
          <w:szCs w:val="32"/>
        </w:rPr>
        <w:t>三方报价编制预算内容，并通过了第三方预算评审，审减金额为0.00万元。项目预算执行过程中，科技社团服务中心能够按照相关支出管理规定履行审核手续，确保各项支出与预算明细相符。截至2024年底，各子项工作经费均未超支，项目年度资金支出控制在预算范围内</w:t>
      </w:r>
      <w:bookmarkStart w:id="72" w:name="OLE_LINK63"/>
      <w:bookmarkStart w:id="73" w:name="OLE_LINK62"/>
      <w:r>
        <w:rPr>
          <w:rFonts w:hint="eastAsia" w:ascii="仿宋_GB2312" w:hAnsi="仿宋_GB2312" w:eastAsia="仿宋_GB2312" w:cs="仿宋_GB2312"/>
          <w:iCs/>
          <w:kern w:val="0"/>
          <w:sz w:val="32"/>
          <w:szCs w:val="32"/>
        </w:rPr>
        <w:t>。</w:t>
      </w:r>
      <w:bookmarkEnd w:id="72"/>
      <w:bookmarkEnd w:id="73"/>
      <w:bookmarkStart w:id="74" w:name="OLE_LINK87"/>
      <w:bookmarkStart w:id="75" w:name="OLE_LINK86"/>
    </w:p>
    <w:bookmarkEnd w:id="74"/>
    <w:bookmarkEnd w:id="75"/>
    <w:p>
      <w:pPr>
        <w:keepNext w:val="0"/>
        <w:keepLines w:val="0"/>
        <w:kinsoku/>
        <w:wordWrap/>
        <w:overflowPunct/>
        <w:topLinePunct w:val="0"/>
        <w:autoSpaceDE w:val="0"/>
        <w:autoSpaceDN w:val="0"/>
        <w:bidi w:val="0"/>
        <w:adjustRightInd w:val="0"/>
        <w:snapToGrid w:val="0"/>
        <w:spacing w:line="560" w:lineRule="exact"/>
        <w:ind w:firstLine="640" w:firstLineChars="200"/>
        <w:jc w:val="both"/>
        <w:outlineLvl w:val="9"/>
        <w:rPr>
          <w:rFonts w:hint="eastAsia" w:ascii="楷体_GB2312" w:hAnsi="楷体_GB2312" w:eastAsia="楷体_GB2312" w:cs="楷体_GB2312"/>
          <w:kern w:val="0"/>
          <w:sz w:val="32"/>
          <w:szCs w:val="32"/>
        </w:rPr>
      </w:pPr>
      <w:bookmarkStart w:id="76" w:name="_Toc167954307"/>
      <w:bookmarkStart w:id="77" w:name="_Toc200061848"/>
      <w:bookmarkStart w:id="78" w:name="_Toc35588422"/>
      <w:r>
        <w:rPr>
          <w:rFonts w:hint="eastAsia" w:ascii="楷体_GB2312" w:hAnsi="楷体_GB2312" w:eastAsia="楷体_GB2312" w:cs="楷体_GB2312"/>
          <w:kern w:val="0"/>
          <w:sz w:val="32"/>
          <w:szCs w:val="32"/>
        </w:rPr>
        <w:t>（四）项目效益情况</w:t>
      </w:r>
      <w:bookmarkEnd w:id="76"/>
      <w:bookmarkEnd w:id="77"/>
      <w:bookmarkEnd w:id="78"/>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iCs/>
          <w:kern w:val="0"/>
          <w:sz w:val="32"/>
          <w:szCs w:val="32"/>
        </w:rPr>
        <w:t>项目的实施</w:t>
      </w:r>
      <w:r>
        <w:rPr>
          <w:rFonts w:hint="eastAsia" w:ascii="仿宋_GB2312" w:hAnsi="仿宋_GB2312" w:eastAsia="仿宋_GB2312" w:cs="仿宋_GB2312"/>
          <w:sz w:val="32"/>
          <w:szCs w:val="32"/>
        </w:rPr>
        <w:t>对于促进科协基层组织交流合作，提升基层组织建设发展水平起到了一定</w:t>
      </w:r>
      <w:r>
        <w:rPr>
          <w:rFonts w:hint="eastAsia" w:ascii="仿宋_GB2312" w:hAnsi="仿宋_GB2312" w:cs="仿宋_GB2312"/>
          <w:sz w:val="32"/>
          <w:szCs w:val="32"/>
          <w:lang w:eastAsia="zh-CN"/>
        </w:rPr>
        <w:t>的</w:t>
      </w:r>
      <w:r>
        <w:rPr>
          <w:rFonts w:hint="eastAsia" w:ascii="仿宋_GB2312" w:hAnsi="仿宋_GB2312" w:eastAsia="仿宋_GB2312" w:cs="仿宋_GB2312"/>
          <w:sz w:val="32"/>
          <w:szCs w:val="32"/>
        </w:rPr>
        <w:t>积极作用</w:t>
      </w:r>
      <w:r>
        <w:rPr>
          <w:rFonts w:hint="eastAsia" w:ascii="仿宋_GB2312" w:hAnsi="仿宋_GB2312" w:eastAsia="仿宋_GB2312" w:cs="仿宋_GB2312"/>
          <w:iCs/>
          <w:kern w:val="0"/>
          <w:sz w:val="32"/>
          <w:szCs w:val="32"/>
        </w:rPr>
        <w:t>。该指标分值30分，得分25.20分，得分率84.00%</w:t>
      </w:r>
      <w:r>
        <w:rPr>
          <w:rFonts w:hint="eastAsia" w:ascii="仿宋_GB2312" w:hAnsi="仿宋_GB2312" w:eastAsia="仿宋_GB2312" w:cs="仿宋_GB2312"/>
          <w:sz w:val="32"/>
          <w:szCs w:val="32"/>
        </w:rPr>
        <w:t>。</w:t>
      </w:r>
    </w:p>
    <w:p>
      <w:pPr>
        <w:keepNext w:val="0"/>
        <w:keepLines w:val="0"/>
        <w:kinsoku/>
        <w:wordWrap/>
        <w:overflowPunct/>
        <w:topLinePunct w:val="0"/>
        <w:autoSpaceDE w:val="0"/>
        <w:autoSpaceDN w:val="0"/>
        <w:bidi w:val="0"/>
        <w:adjustRightInd w:val="0"/>
        <w:snapToGrid w:val="0"/>
        <w:spacing w:line="560" w:lineRule="exact"/>
        <w:ind w:firstLine="640" w:firstLineChars="200"/>
        <w:jc w:val="both"/>
        <w:outlineLvl w:val="9"/>
        <w:rPr>
          <w:rFonts w:hint="eastAsia" w:ascii="仿宋_GB2312" w:hAnsi="仿宋_GB2312" w:eastAsia="仿宋_GB2312" w:cs="仿宋_GB2312"/>
          <w:bCs/>
          <w:kern w:val="0"/>
          <w:sz w:val="32"/>
          <w:szCs w:val="32"/>
        </w:rPr>
      </w:pPr>
      <w:bookmarkStart w:id="79" w:name="_Toc35588423"/>
      <w:r>
        <w:rPr>
          <w:rFonts w:hint="eastAsia" w:ascii="仿宋_GB2312" w:hAnsi="仿宋_GB2312" w:eastAsia="仿宋_GB2312" w:cs="仿宋_GB2312"/>
          <w:bCs/>
          <w:kern w:val="0"/>
          <w:sz w:val="32"/>
          <w:szCs w:val="32"/>
        </w:rPr>
        <w:t>1.实施效益</w:t>
      </w:r>
      <w:bookmarkEnd w:id="79"/>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项目的实施对于促进科协基层组织交流合作，提升基层组织建设发展水平起到了一定</w:t>
      </w:r>
      <w:r>
        <w:rPr>
          <w:rFonts w:hint="eastAsia" w:ascii="仿宋_GB2312" w:hAnsi="仿宋_GB2312" w:cs="仿宋_GB2312"/>
          <w:sz w:val="32"/>
          <w:szCs w:val="32"/>
          <w:lang w:eastAsia="zh-CN"/>
        </w:rPr>
        <w:t>的</w:t>
      </w:r>
      <w:r>
        <w:rPr>
          <w:rFonts w:hint="eastAsia" w:ascii="仿宋_GB2312" w:hAnsi="仿宋_GB2312" w:eastAsia="仿宋_GB2312" w:cs="仿宋_GB2312"/>
          <w:sz w:val="32"/>
          <w:szCs w:val="32"/>
        </w:rPr>
        <w:t>积极作用。</w:t>
      </w:r>
      <w:bookmarkStart w:id="80" w:name="OLE_LINK18"/>
      <w:bookmarkStart w:id="81" w:name="OLE_LINK17"/>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通过党建强会计划工作，多维度举措推进国际科技创新中心与高水平人才高地建设。持续激励科技工作者创新争先，强化科协组织监督引领，有效支撑首都高质量发展。重点推进党支部规范化建设，增强党组织凝聚力，以科技社团需求为导向，精准提升其运营管理和治理能力，全面促进科协基层组织建设健康发展。</w:t>
      </w:r>
    </w:p>
    <w:bookmarkEnd w:id="80"/>
    <w:bookmarkEnd w:id="81"/>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二是通过高校科协组织建设工作，为青年科技人才融入经济主战场搭建桥梁、提供科研导向，为首都高质量发展提供科技支撑。</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三是通过聚力赋能行动工作，深化区域科技协同创新，加强跨领域交流合作，推动新材料产业人才集聚与资源共享，为首都高质量发展提供智力支撑。</w:t>
      </w:r>
    </w:p>
    <w:p>
      <w:pPr>
        <w:keepNext w:val="0"/>
        <w:keepLines w:val="0"/>
        <w:tabs>
          <w:tab w:val="center" w:pos="4742"/>
        </w:tabs>
        <w:kinsoku/>
        <w:wordWrap/>
        <w:overflowPunct/>
        <w:topLinePunct w:val="0"/>
        <w:autoSpaceDE w:val="0"/>
        <w:autoSpaceDN w:val="0"/>
        <w:bidi w:val="0"/>
        <w:adjustRightInd w:val="0"/>
        <w:snapToGrid w:val="0"/>
        <w:spacing w:line="560" w:lineRule="exact"/>
        <w:ind w:firstLine="640" w:firstLineChars="200"/>
        <w:jc w:val="both"/>
        <w:outlineLvl w:val="9"/>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2.满意度</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对2024年科技创新协同行动项目、市科协所属科技社团项目绩效管理专题培训、科技社团财务制度建设专题培训、科技社团分支机构成立与规范管理专题培训开展了满意度调查工作，共发放问卷100份，回收有效问卷100份，回收率为100%，满意度达到100%。</w:t>
      </w:r>
      <w:bookmarkStart w:id="82" w:name="OLE_LINK35"/>
      <w:bookmarkStart w:id="83" w:name="OLE_LINK65"/>
      <w:bookmarkStart w:id="84" w:name="OLE_LINK64"/>
      <w:bookmarkStart w:id="85" w:name="OLE_LINK34"/>
    </w:p>
    <w:bookmarkEnd w:id="82"/>
    <w:bookmarkEnd w:id="83"/>
    <w:bookmarkEnd w:id="84"/>
    <w:bookmarkEnd w:id="85"/>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黑体" w:hAnsi="黑体" w:eastAsia="黑体" w:cs="黑体"/>
          <w:sz w:val="32"/>
          <w:szCs w:val="32"/>
          <w:highlight w:val="none"/>
        </w:rPr>
      </w:pPr>
      <w:bookmarkStart w:id="86" w:name="_Toc167954308"/>
      <w:bookmarkStart w:id="87" w:name="_Toc200061849"/>
      <w:bookmarkStart w:id="88" w:name="_Toc35588424"/>
      <w:r>
        <w:rPr>
          <w:rFonts w:hint="eastAsia" w:ascii="黑体" w:hAnsi="黑体" w:eastAsia="黑体" w:cs="黑体"/>
          <w:sz w:val="32"/>
          <w:szCs w:val="32"/>
          <w:highlight w:val="none"/>
        </w:rPr>
        <w:t>五、主要经验及做法、存在的问题及原因分析</w:t>
      </w:r>
      <w:bookmarkEnd w:id="86"/>
      <w:bookmarkEnd w:id="87"/>
      <w:bookmarkEnd w:id="88"/>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楷体_GB2312" w:hAnsi="楷体_GB2312" w:eastAsia="楷体_GB2312" w:cs="楷体_GB2312"/>
          <w:sz w:val="32"/>
          <w:szCs w:val="32"/>
          <w:highlight w:val="none"/>
        </w:rPr>
      </w:pPr>
      <w:bookmarkStart w:id="89" w:name="_Toc35588426"/>
      <w:bookmarkStart w:id="90" w:name="_Toc35588783"/>
      <w:bookmarkStart w:id="91" w:name="_Toc35588425"/>
      <w:bookmarkStart w:id="92" w:name="OLE_LINK81"/>
      <w:bookmarkStart w:id="93" w:name="_Toc200061850"/>
      <w:bookmarkStart w:id="94" w:name="_Toc167954309"/>
      <w:bookmarkStart w:id="95" w:name="OLE_LINK38"/>
      <w:bookmarkStart w:id="96" w:name="OLE_LINK39"/>
      <w:r>
        <w:rPr>
          <w:rFonts w:hint="eastAsia" w:ascii="楷体_GB2312" w:hAnsi="楷体_GB2312" w:eastAsia="楷体_GB2312" w:cs="楷体_GB2312"/>
          <w:sz w:val="32"/>
          <w:szCs w:val="32"/>
          <w:highlight w:val="none"/>
        </w:rPr>
        <w:t>（一）</w:t>
      </w:r>
      <w:bookmarkEnd w:id="89"/>
      <w:bookmarkEnd w:id="90"/>
      <w:bookmarkEnd w:id="91"/>
      <w:bookmarkEnd w:id="92"/>
      <w:bookmarkStart w:id="97" w:name="OLE_LINK1"/>
      <w:r>
        <w:rPr>
          <w:rFonts w:hint="eastAsia" w:ascii="楷体_GB2312" w:hAnsi="楷体_GB2312" w:eastAsia="楷体_GB2312" w:cs="楷体_GB2312"/>
          <w:sz w:val="32"/>
          <w:szCs w:val="32"/>
          <w:highlight w:val="none"/>
        </w:rPr>
        <w:t>主要经验及做法</w:t>
      </w:r>
      <w:bookmarkEnd w:id="93"/>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1.健全服务工作机制，履行科协组织“四服务”职能</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为了进一步探索服务基层新模式，更好地履行科协组织</w:t>
      </w:r>
      <w:bookmarkStart w:id="98" w:name="OLE_LINK79"/>
      <w:bookmarkStart w:id="99" w:name="OLE_LINK80"/>
      <w:r>
        <w:rPr>
          <w:rFonts w:hint="eastAsia" w:ascii="仿宋_GB2312" w:hAnsi="仿宋_GB2312" w:eastAsia="仿宋_GB2312" w:cs="仿宋_GB2312"/>
          <w:sz w:val="32"/>
          <w:szCs w:val="32"/>
          <w:highlight w:val="none"/>
        </w:rPr>
        <w:t>“四服务”</w:t>
      </w:r>
      <w:bookmarkEnd w:id="98"/>
      <w:bookmarkEnd w:id="99"/>
      <w:r>
        <w:rPr>
          <w:rFonts w:hint="eastAsia" w:ascii="仿宋_GB2312" w:hAnsi="仿宋_GB2312" w:eastAsia="仿宋_GB2312" w:cs="仿宋_GB2312"/>
          <w:sz w:val="32"/>
          <w:szCs w:val="32"/>
          <w:highlight w:val="none"/>
        </w:rPr>
        <w:t>职能，推动组织建设高水平发展，建立了“服务管家”工作机制，管理运行市科协数字组织人才平台，积累了相关的数据信息，为形成一流学会创建指标提供了数据支撑。</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2.完善人才服务体系，赋能国际科技创新中心建设</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为了增强基层组织凝聚力，筑牢科协服务国际科技创新中心的支撑基础，以服务人才为核心，创建了具有代表性的品牌活动</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“大讲堂”系列学术活动，青年科技创新大赛，北京脑科学前沿成果交流会系列前沿交流活动等一批具有科协特色的系列品牌活动，加强了高校、院所科协建设，为科协事业发展夯实组织基础。</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楷体_GB2312" w:hAnsi="楷体_GB2312" w:eastAsia="楷体_GB2312" w:cs="楷体_GB2312"/>
          <w:sz w:val="32"/>
          <w:szCs w:val="32"/>
          <w:highlight w:val="none"/>
        </w:rPr>
      </w:pPr>
      <w:bookmarkStart w:id="100" w:name="_Toc200061851"/>
      <w:r>
        <w:rPr>
          <w:rFonts w:hint="eastAsia" w:ascii="楷体_GB2312" w:hAnsi="楷体_GB2312" w:eastAsia="楷体_GB2312" w:cs="楷体_GB2312"/>
          <w:sz w:val="32"/>
          <w:szCs w:val="32"/>
          <w:highlight w:val="none"/>
        </w:rPr>
        <w:t>（二）存在的问题及原因分析</w:t>
      </w:r>
      <w:bookmarkEnd w:id="100"/>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1.项目绩效指标设置不足</w:t>
      </w:r>
      <w:bookmarkEnd w:id="94"/>
      <w:bookmarkEnd w:id="97"/>
      <w:r>
        <w:rPr>
          <w:rFonts w:hint="eastAsia" w:ascii="仿宋_GB2312" w:hAnsi="仿宋_GB2312" w:eastAsia="仿宋_GB2312" w:cs="仿宋_GB2312"/>
          <w:sz w:val="32"/>
          <w:szCs w:val="32"/>
          <w:highlight w:val="none"/>
          <w:lang w:eastAsia="zh-CN"/>
        </w:rPr>
        <w:t>。如：</w:t>
      </w:r>
      <w:r>
        <w:rPr>
          <w:rFonts w:hint="eastAsia" w:ascii="仿宋_GB2312" w:hAnsi="仿宋_GB2312" w:eastAsia="仿宋_GB2312" w:cs="仿宋_GB2312"/>
          <w:sz w:val="32"/>
          <w:szCs w:val="32"/>
          <w:highlight w:val="none"/>
        </w:rPr>
        <w:t>绩效指标有待进一步优化</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预算编制精细化程度</w:t>
      </w:r>
      <w:r>
        <w:rPr>
          <w:rFonts w:hint="eastAsia" w:ascii="仿宋_GB2312" w:hAnsi="仿宋_GB2312" w:eastAsia="仿宋_GB2312" w:cs="仿宋_GB2312"/>
          <w:sz w:val="32"/>
          <w:szCs w:val="32"/>
          <w:highlight w:val="none"/>
          <w:lang w:eastAsia="zh-CN"/>
        </w:rPr>
        <w:t>有待提升。</w:t>
      </w:r>
    </w:p>
    <w:bookmarkEnd w:id="95"/>
    <w:bookmarkEnd w:id="96"/>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highlight w:val="none"/>
          <w:lang w:eastAsia="zh-CN"/>
        </w:rPr>
      </w:pPr>
      <w:bookmarkStart w:id="101" w:name="_Toc167954310"/>
      <w:r>
        <w:rPr>
          <w:rFonts w:hint="eastAsia" w:ascii="仿宋_GB2312" w:hAnsi="仿宋_GB2312" w:eastAsia="仿宋_GB2312" w:cs="仿宋_GB2312"/>
          <w:sz w:val="32"/>
          <w:szCs w:val="32"/>
          <w:highlight w:val="none"/>
        </w:rPr>
        <w:t>2.</w:t>
      </w:r>
      <w:bookmarkStart w:id="102" w:name="OLE_LINK16"/>
      <w:r>
        <w:rPr>
          <w:rFonts w:hint="eastAsia" w:ascii="仿宋_GB2312" w:hAnsi="仿宋_GB2312" w:eastAsia="仿宋_GB2312" w:cs="仿宋_GB2312"/>
          <w:sz w:val="32"/>
          <w:szCs w:val="32"/>
          <w:highlight w:val="none"/>
        </w:rPr>
        <w:t>项目成本管理的精细化程度不足，执行过程管控有待加强</w:t>
      </w:r>
      <w:bookmarkEnd w:id="101"/>
      <w:bookmarkEnd w:id="102"/>
      <w:bookmarkStart w:id="103" w:name="OLE_LINK36"/>
      <w:bookmarkStart w:id="104" w:name="OLE_LINK37"/>
      <w:bookmarkStart w:id="105" w:name="OLE_LINK42"/>
      <w:bookmarkStart w:id="106" w:name="OLE_LINK11"/>
      <w:bookmarkStart w:id="107" w:name="OLE_LINK43"/>
      <w:r>
        <w:rPr>
          <w:rFonts w:hint="eastAsia" w:ascii="仿宋_GB2312" w:hAnsi="仿宋_GB2312" w:eastAsia="仿宋_GB2312" w:cs="仿宋_GB2312"/>
          <w:sz w:val="32"/>
          <w:szCs w:val="32"/>
          <w:highlight w:val="none"/>
          <w:lang w:eastAsia="zh-CN"/>
        </w:rPr>
        <w:t>。如：</w:t>
      </w:r>
      <w:r>
        <w:rPr>
          <w:rFonts w:hint="eastAsia" w:ascii="仿宋_GB2312" w:hAnsi="仿宋_GB2312" w:eastAsia="仿宋_GB2312" w:cs="仿宋_GB2312"/>
          <w:sz w:val="32"/>
          <w:szCs w:val="32"/>
          <w:highlight w:val="none"/>
        </w:rPr>
        <w:t>部分项目</w:t>
      </w:r>
      <w:r>
        <w:rPr>
          <w:rFonts w:hint="eastAsia" w:ascii="仿宋_GB2312" w:hAnsi="仿宋_GB2312" w:eastAsia="仿宋_GB2312" w:cs="仿宋_GB2312"/>
          <w:sz w:val="32"/>
          <w:szCs w:val="32"/>
          <w:highlight w:val="none"/>
          <w:lang w:eastAsia="zh-CN"/>
        </w:rPr>
        <w:t>过程执行</w:t>
      </w:r>
      <w:r>
        <w:rPr>
          <w:rFonts w:hint="eastAsia" w:ascii="仿宋_GB2312" w:hAnsi="仿宋_GB2312" w:eastAsia="仿宋_GB2312" w:cs="仿宋_GB2312"/>
          <w:sz w:val="32"/>
          <w:szCs w:val="32"/>
          <w:highlight w:val="none"/>
        </w:rPr>
        <w:t>缺乏有效的管控措施</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成本控制精细化水平不足</w:t>
      </w:r>
      <w:r>
        <w:rPr>
          <w:rFonts w:hint="eastAsia" w:ascii="仿宋_GB2312" w:hAnsi="仿宋_GB2312" w:eastAsia="仿宋_GB2312" w:cs="仿宋_GB2312"/>
          <w:sz w:val="32"/>
          <w:szCs w:val="32"/>
          <w:highlight w:val="none"/>
          <w:lang w:eastAsia="zh-CN"/>
        </w:rPr>
        <w:t>。</w:t>
      </w:r>
    </w:p>
    <w:bookmarkEnd w:id="103"/>
    <w:bookmarkEnd w:id="104"/>
    <w:bookmarkEnd w:id="105"/>
    <w:bookmarkEnd w:id="106"/>
    <w:bookmarkEnd w:id="107"/>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highlight w:val="none"/>
        </w:rPr>
      </w:pPr>
      <w:bookmarkStart w:id="108" w:name="_Toc167954311"/>
      <w:r>
        <w:rPr>
          <w:rFonts w:hint="eastAsia" w:ascii="仿宋_GB2312" w:hAnsi="仿宋_GB2312" w:eastAsia="仿宋_GB2312" w:cs="仿宋_GB2312"/>
          <w:sz w:val="32"/>
          <w:szCs w:val="32"/>
          <w:highlight w:val="none"/>
        </w:rPr>
        <w:t>3.</w:t>
      </w:r>
      <w:bookmarkStart w:id="109" w:name="OLE_LINK23"/>
      <w:r>
        <w:rPr>
          <w:rFonts w:hint="eastAsia" w:ascii="仿宋_GB2312" w:hAnsi="仿宋_GB2312" w:eastAsia="仿宋_GB2312" w:cs="仿宋_GB2312"/>
          <w:sz w:val="32"/>
          <w:szCs w:val="32"/>
          <w:highlight w:val="none"/>
        </w:rPr>
        <w:t>项目效益挖掘不够充分，满意度调查工作有待完善</w:t>
      </w:r>
      <w:bookmarkEnd w:id="108"/>
      <w:bookmarkEnd w:id="109"/>
      <w:bookmarkStart w:id="110" w:name="OLE_LINK45"/>
      <w:bookmarkStart w:id="111" w:name="OLE_LINK44"/>
      <w:r>
        <w:rPr>
          <w:rFonts w:hint="eastAsia" w:ascii="仿宋_GB2312" w:hAnsi="仿宋_GB2312" w:eastAsia="仿宋_GB2312" w:cs="仿宋_GB2312"/>
          <w:sz w:val="32"/>
          <w:szCs w:val="32"/>
          <w:highlight w:val="none"/>
          <w:lang w:eastAsia="zh-CN"/>
        </w:rPr>
        <w:t>。如：</w:t>
      </w:r>
      <w:r>
        <w:rPr>
          <w:rFonts w:hint="eastAsia" w:ascii="仿宋_GB2312" w:hAnsi="仿宋_GB2312" w:eastAsia="仿宋_GB2312" w:cs="仿宋_GB2312"/>
          <w:sz w:val="32"/>
          <w:szCs w:val="32"/>
          <w:highlight w:val="none"/>
        </w:rPr>
        <w:t>项目产出效益挖掘不够深入，三是满意度调查</w:t>
      </w:r>
      <w:r>
        <w:rPr>
          <w:rFonts w:hint="eastAsia" w:ascii="仿宋_GB2312" w:hAnsi="仿宋_GB2312" w:eastAsia="仿宋_GB2312" w:cs="仿宋_GB2312"/>
          <w:sz w:val="32"/>
          <w:szCs w:val="32"/>
          <w:highlight w:val="none"/>
          <w:lang w:eastAsia="zh-CN"/>
        </w:rPr>
        <w:t>内容及样本量</w:t>
      </w:r>
      <w:r>
        <w:rPr>
          <w:rFonts w:hint="eastAsia" w:ascii="仿宋_GB2312" w:hAnsi="仿宋_GB2312" w:eastAsia="仿宋_GB2312" w:cs="仿宋_GB2312"/>
          <w:sz w:val="32"/>
          <w:szCs w:val="32"/>
          <w:highlight w:val="none"/>
        </w:rPr>
        <w:t>有待完善。</w:t>
      </w:r>
      <w:bookmarkEnd w:id="110"/>
      <w:bookmarkEnd w:id="111"/>
      <w:bookmarkStart w:id="112" w:name="_Toc167954312"/>
      <w:bookmarkStart w:id="113" w:name="_Toc35588427"/>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sz w:val="32"/>
          <w:szCs w:val="32"/>
        </w:rPr>
      </w:pPr>
      <w:bookmarkStart w:id="114" w:name="_Toc200061852"/>
      <w:r>
        <w:rPr>
          <w:rFonts w:hint="eastAsia" w:ascii="黑体" w:hAnsi="黑体" w:eastAsia="黑体" w:cs="黑体"/>
          <w:sz w:val="32"/>
          <w:szCs w:val="32"/>
        </w:rPr>
        <w:t>六、有关建议</w:t>
      </w:r>
      <w:bookmarkEnd w:id="112"/>
      <w:bookmarkEnd w:id="113"/>
      <w:bookmarkEnd w:id="114"/>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楷体_GB2312" w:hAnsi="楷体_GB2312" w:eastAsia="楷体_GB2312" w:cs="楷体_GB2312"/>
          <w:sz w:val="32"/>
          <w:szCs w:val="32"/>
        </w:rPr>
      </w:pPr>
      <w:bookmarkStart w:id="115" w:name="_Toc167954313"/>
      <w:bookmarkStart w:id="116" w:name="_Toc200061853"/>
      <w:r>
        <w:rPr>
          <w:rFonts w:hint="eastAsia" w:ascii="楷体_GB2312" w:hAnsi="楷体_GB2312" w:eastAsia="楷体_GB2312" w:cs="楷体_GB2312"/>
          <w:sz w:val="32"/>
          <w:szCs w:val="32"/>
        </w:rPr>
        <w:t>（一）完善项目规划论证体系，促进预算管理优化提升</w:t>
      </w:r>
      <w:bookmarkEnd w:id="115"/>
      <w:bookmarkEnd w:id="116"/>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iCs/>
          <w:sz w:val="32"/>
          <w:szCs w:val="32"/>
        </w:rPr>
      </w:pPr>
      <w:bookmarkStart w:id="117" w:name="OLE_LINK41"/>
      <w:bookmarkStart w:id="118" w:name="OLE_LINK40"/>
      <w:r>
        <w:rPr>
          <w:rFonts w:hint="eastAsia" w:ascii="仿宋_GB2312" w:hAnsi="仿宋_GB2312" w:eastAsia="仿宋_GB2312" w:cs="仿宋_GB2312"/>
          <w:iCs/>
          <w:sz w:val="32"/>
          <w:szCs w:val="32"/>
        </w:rPr>
        <w:t>一是完善中长期规划体系，明确阶段性目标和实施路径。二是优化绩效指标体系，根据项目内容分析核心产出，设置核心产出数量及质量指标。</w:t>
      </w:r>
    </w:p>
    <w:bookmarkEnd w:id="117"/>
    <w:bookmarkEnd w:id="118"/>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楷体_GB2312" w:hAnsi="楷体_GB2312" w:eastAsia="楷体_GB2312" w:cs="楷体_GB2312"/>
          <w:sz w:val="32"/>
          <w:szCs w:val="32"/>
        </w:rPr>
      </w:pPr>
      <w:bookmarkStart w:id="119" w:name="_Toc167954314"/>
      <w:bookmarkStart w:id="120" w:name="_Toc200061854"/>
      <w:r>
        <w:rPr>
          <w:rFonts w:hint="eastAsia" w:ascii="楷体_GB2312" w:hAnsi="楷体_GB2312" w:eastAsia="楷体_GB2312" w:cs="楷体_GB2312"/>
          <w:sz w:val="32"/>
          <w:szCs w:val="32"/>
        </w:rPr>
        <w:t>（二）</w:t>
      </w:r>
      <w:bookmarkEnd w:id="119"/>
      <w:r>
        <w:rPr>
          <w:rFonts w:hint="eastAsia" w:ascii="楷体_GB2312" w:hAnsi="楷体_GB2312" w:eastAsia="楷体_GB2312" w:cs="楷体_GB2312"/>
          <w:sz w:val="32"/>
          <w:szCs w:val="32"/>
        </w:rPr>
        <w:t>强化项目成本精细化管理，提升全过程管控水平</w:t>
      </w:r>
      <w:bookmarkEnd w:id="120"/>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仿宋_GB2312" w:hAnsi="仿宋_GB2312" w:eastAsia="仿宋_GB2312" w:cs="仿宋_GB2312"/>
          <w:iCs/>
          <w:sz w:val="32"/>
          <w:szCs w:val="32"/>
        </w:rPr>
      </w:pPr>
      <w:r>
        <w:rPr>
          <w:rFonts w:hint="eastAsia" w:ascii="仿宋_GB2312" w:hAnsi="仿宋_GB2312" w:eastAsia="仿宋_GB2312" w:cs="仿宋_GB2312"/>
          <w:iCs/>
          <w:sz w:val="32"/>
          <w:szCs w:val="32"/>
        </w:rPr>
        <w:t>一是加强项目全过程管控，推行项目进度表制度，明确各环节时间节点和责任人；建立月度进度通报机制，对滞后项目进行预警和督导。二是强化成本精细化管理，提升项目支出经济性。</w:t>
      </w:r>
    </w:p>
    <w:p>
      <w:pPr>
        <w:keepNext w:val="0"/>
        <w:keepLines w:val="0"/>
        <w:kinsoku/>
        <w:wordWrap/>
        <w:overflowPunct/>
        <w:topLinePunct w:val="0"/>
        <w:bidi w:val="0"/>
        <w:adjustRightInd w:val="0"/>
        <w:snapToGrid w:val="0"/>
        <w:spacing w:line="560" w:lineRule="exact"/>
        <w:ind w:firstLine="640" w:firstLineChars="200"/>
        <w:jc w:val="both"/>
        <w:outlineLvl w:val="9"/>
        <w:rPr>
          <w:rFonts w:hint="eastAsia" w:ascii="楷体_GB2312" w:hAnsi="楷体_GB2312" w:eastAsia="楷体_GB2312" w:cs="楷体_GB2312"/>
          <w:sz w:val="32"/>
          <w:szCs w:val="32"/>
        </w:rPr>
      </w:pPr>
      <w:bookmarkStart w:id="121" w:name="_Toc200061855"/>
      <w:bookmarkStart w:id="122" w:name="_Toc167954315"/>
      <w:r>
        <w:rPr>
          <w:rFonts w:hint="eastAsia" w:ascii="楷体_GB2312" w:hAnsi="楷体_GB2312" w:eastAsia="楷体_GB2312" w:cs="楷体_GB2312"/>
          <w:sz w:val="32"/>
          <w:szCs w:val="32"/>
        </w:rPr>
        <w:t>（三）加强项目实施效益梳理及挖掘，提升问卷调查科学合理性</w:t>
      </w:r>
      <w:bookmarkEnd w:id="121"/>
      <w:bookmarkEnd w:id="122"/>
    </w:p>
    <w:p>
      <w:pPr>
        <w:keepNext w:val="0"/>
        <w:keepLines w:val="0"/>
        <w:kinsoku/>
        <w:wordWrap/>
        <w:overflowPunct/>
        <w:topLinePunct w:val="0"/>
        <w:bidi w:val="0"/>
        <w:spacing w:line="560" w:lineRule="exact"/>
        <w:ind w:firstLine="640" w:firstLineChars="200"/>
        <w:jc w:val="both"/>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一是加强对项目实施效益的总结梳理，构建效益深度分析框架，挖掘相关效益数据。二是优化问卷调查工作，科学合理设计问卷题目，增加调查样本量，加强问卷结果分析。</w:t>
      </w:r>
    </w:p>
    <w:sectPr>
      <w:headerReference r:id="rId3" w:type="default"/>
      <w:footerReference r:id="rId4"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roman"/>
    <w:pitch w:val="default"/>
    <w:sig w:usb0="00000000" w:usb1="00000000" w:usb2="0000003F" w:usb3="00000000" w:csb0="603F01FF" w:csb1="FFFF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方正小标宋简体">
    <w:panose1 w:val="02000000000000000000"/>
    <w:charset w:val="86"/>
    <w:family w:val="auto"/>
    <w:pitch w:val="default"/>
    <w:sig w:usb0="00000001" w:usb1="08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adjustRightInd w:val="0"/>
      <w:jc w:val="center"/>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26</w:t>
    </w:r>
    <w:r>
      <w:rPr>
        <w:rFonts w:ascii="宋体" w:hAnsi="宋体"/>
        <w:sz w:val="28"/>
        <w:szCs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0C5567"/>
    <w:multiLevelType w:val="multilevel"/>
    <w:tmpl w:val="260C5567"/>
    <w:lvl w:ilvl="0" w:tentative="0">
      <w:start w:val="1"/>
      <w:numFmt w:val="decimal"/>
      <w:pStyle w:val="77"/>
      <w:lvlText w:val="（%1）"/>
      <w:lvlJc w:val="left"/>
      <w:pPr>
        <w:tabs>
          <w:tab w:val="left" w:pos="3750"/>
        </w:tabs>
        <w:ind w:left="3750" w:hanging="2250"/>
      </w:pPr>
      <w:rPr>
        <w:rFonts w:hint="eastAsia"/>
      </w:rPr>
    </w:lvl>
    <w:lvl w:ilvl="1" w:tentative="0">
      <w:start w:val="1"/>
      <w:numFmt w:val="lowerLetter"/>
      <w:lvlText w:val="%2)"/>
      <w:lvlJc w:val="left"/>
      <w:pPr>
        <w:tabs>
          <w:tab w:val="left" w:pos="2340"/>
        </w:tabs>
        <w:ind w:left="2340" w:hanging="420"/>
      </w:pPr>
    </w:lvl>
    <w:lvl w:ilvl="2" w:tentative="0">
      <w:start w:val="1"/>
      <w:numFmt w:val="lowerRoman"/>
      <w:lvlText w:val="%3."/>
      <w:lvlJc w:val="right"/>
      <w:pPr>
        <w:tabs>
          <w:tab w:val="left" w:pos="2760"/>
        </w:tabs>
        <w:ind w:left="2760" w:hanging="420"/>
      </w:pPr>
    </w:lvl>
    <w:lvl w:ilvl="3" w:tentative="0">
      <w:start w:val="1"/>
      <w:numFmt w:val="decimal"/>
      <w:lvlText w:val="%4."/>
      <w:lvlJc w:val="left"/>
      <w:pPr>
        <w:tabs>
          <w:tab w:val="left" w:pos="3180"/>
        </w:tabs>
        <w:ind w:left="3180" w:hanging="420"/>
      </w:pPr>
    </w:lvl>
    <w:lvl w:ilvl="4" w:tentative="0">
      <w:start w:val="1"/>
      <w:numFmt w:val="lowerLetter"/>
      <w:lvlText w:val="%5)"/>
      <w:lvlJc w:val="left"/>
      <w:pPr>
        <w:tabs>
          <w:tab w:val="left" w:pos="3600"/>
        </w:tabs>
        <w:ind w:left="3600" w:hanging="420"/>
      </w:pPr>
    </w:lvl>
    <w:lvl w:ilvl="5" w:tentative="0">
      <w:start w:val="1"/>
      <w:numFmt w:val="lowerRoman"/>
      <w:lvlText w:val="%6."/>
      <w:lvlJc w:val="right"/>
      <w:pPr>
        <w:tabs>
          <w:tab w:val="left" w:pos="4020"/>
        </w:tabs>
        <w:ind w:left="4020" w:hanging="420"/>
      </w:pPr>
    </w:lvl>
    <w:lvl w:ilvl="6" w:tentative="0">
      <w:start w:val="1"/>
      <w:numFmt w:val="decimal"/>
      <w:lvlText w:val="%7."/>
      <w:lvlJc w:val="left"/>
      <w:pPr>
        <w:tabs>
          <w:tab w:val="left" w:pos="4440"/>
        </w:tabs>
        <w:ind w:left="4440" w:hanging="420"/>
      </w:pPr>
    </w:lvl>
    <w:lvl w:ilvl="7" w:tentative="0">
      <w:start w:val="1"/>
      <w:numFmt w:val="lowerLetter"/>
      <w:lvlText w:val="%8)"/>
      <w:lvlJc w:val="left"/>
      <w:pPr>
        <w:tabs>
          <w:tab w:val="left" w:pos="4860"/>
        </w:tabs>
        <w:ind w:left="4860" w:hanging="420"/>
      </w:pPr>
    </w:lvl>
    <w:lvl w:ilvl="8" w:tentative="0">
      <w:start w:val="1"/>
      <w:numFmt w:val="lowerRoman"/>
      <w:lvlText w:val="%9."/>
      <w:lvlJc w:val="right"/>
      <w:pPr>
        <w:tabs>
          <w:tab w:val="left" w:pos="5280"/>
        </w:tabs>
        <w:ind w:left="5280" w:hanging="420"/>
      </w:pPr>
    </w:lvl>
  </w:abstractNum>
  <w:abstractNum w:abstractNumId="1">
    <w:nsid w:val="5A7E4ED1"/>
    <w:multiLevelType w:val="multilevel"/>
    <w:tmpl w:val="5A7E4ED1"/>
    <w:lvl w:ilvl="0" w:tentative="0">
      <w:start w:val="1"/>
      <w:numFmt w:val="bullet"/>
      <w:pStyle w:val="14"/>
      <w:lvlText w:val=""/>
      <w:lvlJc w:val="left"/>
      <w:pPr>
        <w:ind w:left="980" w:hanging="420"/>
      </w:pPr>
      <w:rPr>
        <w:rFonts w:hint="default" w:ascii="Wingdings" w:hAnsi="Wingdings"/>
      </w:rPr>
    </w:lvl>
    <w:lvl w:ilvl="1" w:tentative="0">
      <w:start w:val="1"/>
      <w:numFmt w:val="bullet"/>
      <w:lvlText w:val=""/>
      <w:lvlJc w:val="left"/>
      <w:pPr>
        <w:ind w:left="1400" w:hanging="420"/>
      </w:pPr>
      <w:rPr>
        <w:rFonts w:hint="default" w:ascii="Wingdings" w:hAnsi="Wingdings"/>
      </w:rPr>
    </w:lvl>
    <w:lvl w:ilvl="2" w:tentative="0">
      <w:start w:val="1"/>
      <w:numFmt w:val="bullet"/>
      <w:lvlText w:val=""/>
      <w:lvlJc w:val="left"/>
      <w:pPr>
        <w:ind w:left="1820" w:hanging="420"/>
      </w:pPr>
      <w:rPr>
        <w:rFonts w:hint="default" w:ascii="Wingdings" w:hAnsi="Wingdings"/>
      </w:rPr>
    </w:lvl>
    <w:lvl w:ilvl="3" w:tentative="0">
      <w:start w:val="1"/>
      <w:numFmt w:val="bullet"/>
      <w:lvlText w:val=""/>
      <w:lvlJc w:val="left"/>
      <w:pPr>
        <w:ind w:left="2240" w:hanging="420"/>
      </w:pPr>
      <w:rPr>
        <w:rFonts w:hint="default" w:ascii="Wingdings" w:hAnsi="Wingdings"/>
      </w:rPr>
    </w:lvl>
    <w:lvl w:ilvl="4" w:tentative="0">
      <w:start w:val="1"/>
      <w:numFmt w:val="bullet"/>
      <w:lvlText w:val=""/>
      <w:lvlJc w:val="left"/>
      <w:pPr>
        <w:ind w:left="2660" w:hanging="420"/>
      </w:pPr>
      <w:rPr>
        <w:rFonts w:hint="default" w:ascii="Wingdings" w:hAnsi="Wingdings"/>
      </w:rPr>
    </w:lvl>
    <w:lvl w:ilvl="5" w:tentative="0">
      <w:start w:val="1"/>
      <w:numFmt w:val="bullet"/>
      <w:lvlText w:val=""/>
      <w:lvlJc w:val="left"/>
      <w:pPr>
        <w:ind w:left="3080" w:hanging="420"/>
      </w:pPr>
      <w:rPr>
        <w:rFonts w:hint="default" w:ascii="Wingdings" w:hAnsi="Wingdings"/>
      </w:rPr>
    </w:lvl>
    <w:lvl w:ilvl="6" w:tentative="0">
      <w:start w:val="1"/>
      <w:numFmt w:val="bullet"/>
      <w:lvlText w:val=""/>
      <w:lvlJc w:val="left"/>
      <w:pPr>
        <w:ind w:left="3500" w:hanging="420"/>
      </w:pPr>
      <w:rPr>
        <w:rFonts w:hint="default" w:ascii="Wingdings" w:hAnsi="Wingdings"/>
      </w:rPr>
    </w:lvl>
    <w:lvl w:ilvl="7" w:tentative="0">
      <w:start w:val="1"/>
      <w:numFmt w:val="bullet"/>
      <w:lvlText w:val=""/>
      <w:lvlJc w:val="left"/>
      <w:pPr>
        <w:ind w:left="3920" w:hanging="420"/>
      </w:pPr>
      <w:rPr>
        <w:rFonts w:hint="default" w:ascii="Wingdings" w:hAnsi="Wingdings"/>
      </w:rPr>
    </w:lvl>
    <w:lvl w:ilvl="8" w:tentative="0">
      <w:start w:val="1"/>
      <w:numFmt w:val="bullet"/>
      <w:lvlText w:val=""/>
      <w:lvlJc w:val="left"/>
      <w:pPr>
        <w:ind w:left="4340" w:hanging="420"/>
      </w:pPr>
      <w:rPr>
        <w:rFonts w:hint="default" w:ascii="Wingdings" w:hAnsi="Wingding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QwYTY4YWYyOGNmYWIyMTgzOWQ3MWI0NGMzODJjNTcifQ=="/>
  </w:docVars>
  <w:rsids>
    <w:rsidRoot w:val="001E230C"/>
    <w:rsid w:val="000A6011"/>
    <w:rsid w:val="001E230C"/>
    <w:rsid w:val="0067579C"/>
    <w:rsid w:val="006947C1"/>
    <w:rsid w:val="006D4222"/>
    <w:rsid w:val="008B68E0"/>
    <w:rsid w:val="0092471F"/>
    <w:rsid w:val="00CA4269"/>
    <w:rsid w:val="00D25E20"/>
    <w:rsid w:val="00D90CFC"/>
    <w:rsid w:val="00DC7234"/>
    <w:rsid w:val="00F32871"/>
    <w:rsid w:val="099C3216"/>
    <w:rsid w:val="23542D01"/>
    <w:rsid w:val="25CE3B5F"/>
    <w:rsid w:val="366617C8"/>
    <w:rsid w:val="3A6C4BDA"/>
    <w:rsid w:val="4D9D2202"/>
    <w:rsid w:val="54CE78A9"/>
    <w:rsid w:val="797C1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nhideWhenUsed="0" w:uiPriority="39" w:semiHidden="0" w:name="toc 2"/>
    <w:lsdException w:qFormat="1" w:uiPriority="39"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qFormat="1" w:unhideWhenUsed="0" w:uiPriority="99" w:semiHidden="0"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nhideWhenUsed="0" w:uiPriority="0" w:name="annotation reference"/>
    <w:lsdException w:uiPriority="99" w:name="line number"/>
    <w:lsdException w:uiPriority="99"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43"/>
    <w:qFormat/>
    <w:uiPriority w:val="0"/>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44"/>
    <w:unhideWhenUsed/>
    <w:qFormat/>
    <w:uiPriority w:val="0"/>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45"/>
    <w:unhideWhenUsed/>
    <w:qFormat/>
    <w:uiPriority w:val="0"/>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46"/>
    <w:unhideWhenUsed/>
    <w:qFormat/>
    <w:uiPriority w:val="0"/>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47"/>
    <w:unhideWhenUsed/>
    <w:qFormat/>
    <w:uiPriority w:val="0"/>
    <w:pPr>
      <w:keepNext/>
      <w:keepLines/>
      <w:spacing w:before="80" w:after="40"/>
      <w:outlineLvl w:val="4"/>
    </w:pPr>
    <w:rPr>
      <w:rFonts w:cstheme="majorBidi"/>
      <w:color w:val="2F5597" w:themeColor="accent1" w:themeShade="BF"/>
      <w:sz w:val="24"/>
    </w:rPr>
  </w:style>
  <w:style w:type="paragraph" w:styleId="7">
    <w:name w:val="heading 6"/>
    <w:basedOn w:val="1"/>
    <w:next w:val="1"/>
    <w:link w:val="48"/>
    <w:unhideWhenUsed/>
    <w:qFormat/>
    <w:uiPriority w:val="0"/>
    <w:pPr>
      <w:keepNext/>
      <w:keepLines/>
      <w:spacing w:before="40"/>
      <w:outlineLvl w:val="5"/>
    </w:pPr>
    <w:rPr>
      <w:rFonts w:cstheme="majorBidi"/>
      <w:b/>
      <w:bCs/>
      <w:color w:val="2F5597" w:themeColor="accent1" w:themeShade="BF"/>
    </w:rPr>
  </w:style>
  <w:style w:type="paragraph" w:styleId="8">
    <w:name w:val="heading 7"/>
    <w:basedOn w:val="1"/>
    <w:next w:val="1"/>
    <w:link w:val="49"/>
    <w:unhideWhenUsed/>
    <w:qFormat/>
    <w:uiPriority w:val="0"/>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50"/>
    <w:unhideWhenUsed/>
    <w:qFormat/>
    <w:uiPriority w:val="0"/>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51"/>
    <w:unhideWhenUsed/>
    <w:qFormat/>
    <w:uiPriority w:val="0"/>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37">
    <w:name w:val="Default Paragraph Font"/>
    <w:semiHidden/>
    <w:unhideWhenUsed/>
    <w:qFormat/>
    <w:uiPriority w:val="1"/>
  </w:style>
  <w:style w:type="table" w:default="1" w:styleId="35">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1800"/>
      <w:jc w:val="left"/>
    </w:pPr>
    <w:rPr>
      <w:rFonts w:ascii="Calibri" w:hAnsi="Calibri" w:cs="Calibri"/>
      <w:sz w:val="18"/>
      <w:szCs w:val="18"/>
    </w:rPr>
  </w:style>
  <w:style w:type="paragraph" w:styleId="12">
    <w:name w:val="Document Map"/>
    <w:basedOn w:val="1"/>
    <w:link w:val="63"/>
    <w:semiHidden/>
    <w:qFormat/>
    <w:uiPriority w:val="0"/>
    <w:pPr>
      <w:shd w:val="clear" w:color="auto" w:fill="000080"/>
    </w:pPr>
  </w:style>
  <w:style w:type="paragraph" w:styleId="13">
    <w:name w:val="annotation text"/>
    <w:basedOn w:val="1"/>
    <w:link w:val="65"/>
    <w:qFormat/>
    <w:uiPriority w:val="0"/>
    <w:pPr>
      <w:jc w:val="left"/>
    </w:pPr>
  </w:style>
  <w:style w:type="paragraph" w:styleId="14">
    <w:name w:val="Body Text"/>
    <w:basedOn w:val="1"/>
    <w:link w:val="66"/>
    <w:qFormat/>
    <w:uiPriority w:val="0"/>
    <w:pPr>
      <w:numPr>
        <w:ilvl w:val="0"/>
        <w:numId w:val="1"/>
      </w:numPr>
      <w:spacing w:after="120"/>
    </w:pPr>
    <w:rPr>
      <w:rFonts w:ascii="Calibri" w:hAnsi="Calibri" w:eastAsia="宋体"/>
      <w:sz w:val="21"/>
      <w:szCs w:val="22"/>
    </w:rPr>
  </w:style>
  <w:style w:type="paragraph" w:styleId="15">
    <w:name w:val="Body Text Indent"/>
    <w:basedOn w:val="1"/>
    <w:link w:val="67"/>
    <w:qFormat/>
    <w:uiPriority w:val="0"/>
    <w:pPr>
      <w:spacing w:after="120"/>
      <w:ind w:left="420" w:leftChars="200"/>
    </w:pPr>
  </w:style>
  <w:style w:type="paragraph" w:styleId="16">
    <w:name w:val="toc 5"/>
    <w:basedOn w:val="1"/>
    <w:next w:val="1"/>
    <w:qFormat/>
    <w:uiPriority w:val="0"/>
    <w:pPr>
      <w:ind w:left="1200"/>
      <w:jc w:val="left"/>
    </w:pPr>
    <w:rPr>
      <w:rFonts w:ascii="Calibri" w:hAnsi="Calibri" w:cs="Calibri"/>
      <w:sz w:val="18"/>
      <w:szCs w:val="18"/>
    </w:rPr>
  </w:style>
  <w:style w:type="paragraph" w:styleId="17">
    <w:name w:val="toc 3"/>
    <w:basedOn w:val="1"/>
    <w:next w:val="1"/>
    <w:unhideWhenUsed/>
    <w:qFormat/>
    <w:uiPriority w:val="39"/>
    <w:pPr>
      <w:ind w:left="600"/>
      <w:jc w:val="left"/>
    </w:pPr>
    <w:rPr>
      <w:rFonts w:ascii="Calibri" w:hAnsi="Calibri" w:cs="Calibri"/>
      <w:i/>
      <w:iCs/>
      <w:sz w:val="20"/>
      <w:szCs w:val="20"/>
    </w:rPr>
  </w:style>
  <w:style w:type="paragraph" w:styleId="18">
    <w:name w:val="toc 8"/>
    <w:basedOn w:val="1"/>
    <w:next w:val="1"/>
    <w:qFormat/>
    <w:uiPriority w:val="0"/>
    <w:pPr>
      <w:ind w:left="2100"/>
      <w:jc w:val="left"/>
    </w:pPr>
    <w:rPr>
      <w:rFonts w:ascii="Calibri" w:hAnsi="Calibri" w:cs="Calibri"/>
      <w:sz w:val="18"/>
      <w:szCs w:val="18"/>
    </w:rPr>
  </w:style>
  <w:style w:type="paragraph" w:styleId="19">
    <w:name w:val="Body Text Indent 2"/>
    <w:basedOn w:val="1"/>
    <w:link w:val="69"/>
    <w:qFormat/>
    <w:uiPriority w:val="0"/>
    <w:pPr>
      <w:spacing w:after="120" w:line="480" w:lineRule="auto"/>
      <w:ind w:left="420" w:leftChars="200"/>
    </w:pPr>
    <w:rPr>
      <w:rFonts w:eastAsia="宋体"/>
      <w:sz w:val="21"/>
    </w:rPr>
  </w:style>
  <w:style w:type="paragraph" w:styleId="20">
    <w:name w:val="endnote text"/>
    <w:basedOn w:val="1"/>
    <w:link w:val="90"/>
    <w:qFormat/>
    <w:uiPriority w:val="0"/>
    <w:pPr>
      <w:snapToGrid w:val="0"/>
      <w:jc w:val="left"/>
    </w:pPr>
  </w:style>
  <w:style w:type="paragraph" w:styleId="21">
    <w:name w:val="Balloon Text"/>
    <w:basedOn w:val="1"/>
    <w:link w:val="70"/>
    <w:semiHidden/>
    <w:qFormat/>
    <w:uiPriority w:val="0"/>
    <w:rPr>
      <w:sz w:val="18"/>
      <w:szCs w:val="18"/>
    </w:rPr>
  </w:style>
  <w:style w:type="paragraph" w:styleId="22">
    <w:name w:val="footer"/>
    <w:basedOn w:val="1"/>
    <w:link w:val="62"/>
    <w:unhideWhenUsed/>
    <w:qFormat/>
    <w:uiPriority w:val="99"/>
    <w:pPr>
      <w:tabs>
        <w:tab w:val="center" w:pos="4153"/>
        <w:tab w:val="right" w:pos="8306"/>
      </w:tabs>
      <w:snapToGrid w:val="0"/>
      <w:jc w:val="left"/>
    </w:pPr>
    <w:rPr>
      <w:sz w:val="18"/>
      <w:szCs w:val="18"/>
    </w:rPr>
  </w:style>
  <w:style w:type="paragraph" w:styleId="23">
    <w:name w:val="header"/>
    <w:basedOn w:val="1"/>
    <w:link w:val="61"/>
    <w:unhideWhenUsed/>
    <w:qFormat/>
    <w:uiPriority w:val="99"/>
    <w:pPr>
      <w:tabs>
        <w:tab w:val="center" w:pos="4153"/>
        <w:tab w:val="right" w:pos="8306"/>
      </w:tabs>
      <w:snapToGrid w:val="0"/>
      <w:jc w:val="center"/>
    </w:pPr>
    <w:rPr>
      <w:sz w:val="18"/>
      <w:szCs w:val="18"/>
    </w:rPr>
  </w:style>
  <w:style w:type="paragraph" w:styleId="24">
    <w:name w:val="toc 1"/>
    <w:basedOn w:val="1"/>
    <w:next w:val="1"/>
    <w:unhideWhenUsed/>
    <w:qFormat/>
    <w:uiPriority w:val="39"/>
    <w:pPr>
      <w:tabs>
        <w:tab w:val="right" w:leader="dot" w:pos="8834"/>
      </w:tabs>
      <w:adjustRightInd w:val="0"/>
      <w:snapToGrid w:val="0"/>
      <w:spacing w:line="360" w:lineRule="auto"/>
      <w:jc w:val="left"/>
    </w:pPr>
    <w:rPr>
      <w:rFonts w:ascii="Calibri" w:hAnsi="Calibri" w:cs="Calibri"/>
      <w:b/>
      <w:bCs/>
      <w:caps/>
      <w:sz w:val="20"/>
      <w:szCs w:val="20"/>
    </w:rPr>
  </w:style>
  <w:style w:type="paragraph" w:styleId="25">
    <w:name w:val="toc 4"/>
    <w:basedOn w:val="1"/>
    <w:next w:val="1"/>
    <w:qFormat/>
    <w:uiPriority w:val="0"/>
    <w:pPr>
      <w:ind w:left="900"/>
      <w:jc w:val="left"/>
    </w:pPr>
    <w:rPr>
      <w:rFonts w:ascii="Calibri" w:hAnsi="Calibri" w:cs="Calibri"/>
      <w:sz w:val="18"/>
      <w:szCs w:val="18"/>
    </w:rPr>
  </w:style>
  <w:style w:type="paragraph" w:styleId="26">
    <w:name w:val="Subtitle"/>
    <w:basedOn w:val="1"/>
    <w:next w:val="1"/>
    <w:link w:val="53"/>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7">
    <w:name w:val="footnote text"/>
    <w:basedOn w:val="1"/>
    <w:link w:val="72"/>
    <w:qFormat/>
    <w:uiPriority w:val="99"/>
    <w:pPr>
      <w:snapToGrid w:val="0"/>
      <w:jc w:val="left"/>
    </w:pPr>
    <w:rPr>
      <w:rFonts w:ascii="Calibri" w:hAnsi="Calibri" w:eastAsia="宋体"/>
      <w:kern w:val="0"/>
      <w:sz w:val="18"/>
      <w:szCs w:val="20"/>
    </w:rPr>
  </w:style>
  <w:style w:type="paragraph" w:styleId="28">
    <w:name w:val="toc 6"/>
    <w:basedOn w:val="1"/>
    <w:next w:val="1"/>
    <w:qFormat/>
    <w:uiPriority w:val="0"/>
    <w:pPr>
      <w:ind w:left="1500"/>
      <w:jc w:val="left"/>
    </w:pPr>
    <w:rPr>
      <w:rFonts w:ascii="Calibri" w:hAnsi="Calibri" w:cs="Calibri"/>
      <w:sz w:val="18"/>
      <w:szCs w:val="18"/>
    </w:rPr>
  </w:style>
  <w:style w:type="paragraph" w:styleId="29">
    <w:name w:val="Body Text Indent 3"/>
    <w:basedOn w:val="1"/>
    <w:link w:val="73"/>
    <w:qFormat/>
    <w:uiPriority w:val="0"/>
    <w:pPr>
      <w:spacing w:after="120"/>
      <w:ind w:left="420" w:leftChars="200"/>
    </w:pPr>
    <w:rPr>
      <w:sz w:val="16"/>
      <w:szCs w:val="16"/>
    </w:rPr>
  </w:style>
  <w:style w:type="paragraph" w:styleId="30">
    <w:name w:val="toc 2"/>
    <w:basedOn w:val="1"/>
    <w:next w:val="1"/>
    <w:qFormat/>
    <w:uiPriority w:val="39"/>
    <w:pPr>
      <w:tabs>
        <w:tab w:val="right" w:leader="dot" w:pos="8834"/>
      </w:tabs>
      <w:adjustRightInd w:val="0"/>
      <w:snapToGrid w:val="0"/>
      <w:spacing w:line="360" w:lineRule="auto"/>
    </w:pPr>
    <w:rPr>
      <w:rFonts w:ascii="Calibri" w:hAnsi="Calibri" w:cs="Calibri"/>
      <w:smallCaps/>
      <w:sz w:val="20"/>
      <w:szCs w:val="20"/>
    </w:rPr>
  </w:style>
  <w:style w:type="paragraph" w:styleId="31">
    <w:name w:val="toc 9"/>
    <w:basedOn w:val="1"/>
    <w:next w:val="1"/>
    <w:qFormat/>
    <w:uiPriority w:val="0"/>
    <w:pPr>
      <w:ind w:left="2400"/>
      <w:jc w:val="left"/>
    </w:pPr>
    <w:rPr>
      <w:rFonts w:ascii="Calibri" w:hAnsi="Calibri" w:cs="Calibri"/>
      <w:sz w:val="18"/>
      <w:szCs w:val="18"/>
    </w:rPr>
  </w:style>
  <w:style w:type="paragraph" w:styleId="32">
    <w:name w:val="Normal (Web)"/>
    <w:basedOn w:val="1"/>
    <w:qFormat/>
    <w:uiPriority w:val="99"/>
    <w:pPr>
      <w:widowControl/>
      <w:spacing w:before="100" w:beforeAutospacing="1" w:after="100" w:afterAutospacing="1"/>
      <w:jc w:val="left"/>
    </w:pPr>
    <w:rPr>
      <w:rFonts w:hint="eastAsia" w:ascii="Arial Unicode MS" w:hAnsi="Arial Unicode MS" w:eastAsia="Arial Unicode MS" w:cs="Arial Unicode MS"/>
      <w:color w:val="000000"/>
      <w:kern w:val="0"/>
      <w:sz w:val="24"/>
    </w:rPr>
  </w:style>
  <w:style w:type="paragraph" w:styleId="33">
    <w:name w:val="Title"/>
    <w:basedOn w:val="1"/>
    <w:next w:val="1"/>
    <w:link w:val="52"/>
    <w:qFormat/>
    <w:uiPriority w:val="10"/>
    <w:pPr>
      <w:spacing w:after="80"/>
      <w:contextualSpacing/>
      <w:jc w:val="center"/>
    </w:pPr>
    <w:rPr>
      <w:rFonts w:asciiTheme="majorHAnsi" w:hAnsiTheme="majorHAnsi" w:eastAsiaTheme="majorEastAsia" w:cstheme="majorBidi"/>
      <w:spacing w:val="-10"/>
      <w:kern w:val="28"/>
      <w:sz w:val="56"/>
      <w:szCs w:val="56"/>
    </w:rPr>
  </w:style>
  <w:style w:type="paragraph" w:styleId="34">
    <w:name w:val="annotation subject"/>
    <w:basedOn w:val="13"/>
    <w:next w:val="13"/>
    <w:link w:val="74"/>
    <w:semiHidden/>
    <w:qFormat/>
    <w:uiPriority w:val="0"/>
    <w:rPr>
      <w:b/>
      <w:bCs/>
    </w:rPr>
  </w:style>
  <w:style w:type="table" w:styleId="36">
    <w:name w:val="Table Grid"/>
    <w:basedOn w:val="35"/>
    <w:qFormat/>
    <w:uiPriority w:val="0"/>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8">
    <w:name w:val="Strong"/>
    <w:qFormat/>
    <w:uiPriority w:val="22"/>
    <w:rPr>
      <w:b/>
      <w:bCs/>
    </w:rPr>
  </w:style>
  <w:style w:type="character" w:styleId="39">
    <w:name w:val="endnote reference"/>
    <w:qFormat/>
    <w:uiPriority w:val="0"/>
    <w:rPr>
      <w:vertAlign w:val="superscript"/>
    </w:rPr>
  </w:style>
  <w:style w:type="character" w:styleId="40">
    <w:name w:val="Hyperlink"/>
    <w:qFormat/>
    <w:uiPriority w:val="99"/>
    <w:rPr>
      <w:color w:val="0000FF"/>
      <w:u w:val="single"/>
    </w:rPr>
  </w:style>
  <w:style w:type="character" w:styleId="41">
    <w:name w:val="annotation reference"/>
    <w:semiHidden/>
    <w:qFormat/>
    <w:uiPriority w:val="0"/>
    <w:rPr>
      <w:sz w:val="21"/>
      <w:szCs w:val="21"/>
    </w:rPr>
  </w:style>
  <w:style w:type="character" w:styleId="42">
    <w:name w:val="footnote reference"/>
    <w:qFormat/>
    <w:uiPriority w:val="99"/>
    <w:rPr>
      <w:rFonts w:cs="Times New Roman"/>
      <w:vertAlign w:val="superscript"/>
    </w:rPr>
  </w:style>
  <w:style w:type="character" w:customStyle="1" w:styleId="43">
    <w:name w:val="标题 1 字符"/>
    <w:basedOn w:val="37"/>
    <w:link w:val="2"/>
    <w:qFormat/>
    <w:uiPriority w:val="0"/>
    <w:rPr>
      <w:rFonts w:asciiTheme="majorHAnsi" w:hAnsiTheme="majorHAnsi" w:eastAsiaTheme="majorEastAsia" w:cstheme="majorBidi"/>
      <w:color w:val="2F5597" w:themeColor="accent1" w:themeShade="BF"/>
      <w:sz w:val="48"/>
      <w:szCs w:val="48"/>
    </w:rPr>
  </w:style>
  <w:style w:type="character" w:customStyle="1" w:styleId="44">
    <w:name w:val="标题 2 字符"/>
    <w:basedOn w:val="37"/>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45">
    <w:name w:val="标题 3 字符"/>
    <w:basedOn w:val="37"/>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46">
    <w:name w:val="标题 4 字符"/>
    <w:basedOn w:val="37"/>
    <w:link w:val="5"/>
    <w:semiHidden/>
    <w:qFormat/>
    <w:uiPriority w:val="9"/>
    <w:rPr>
      <w:rFonts w:cstheme="majorBidi"/>
      <w:color w:val="2F5597" w:themeColor="accent1" w:themeShade="BF"/>
      <w:sz w:val="28"/>
      <w:szCs w:val="28"/>
    </w:rPr>
  </w:style>
  <w:style w:type="character" w:customStyle="1" w:styleId="47">
    <w:name w:val="标题 5 字符"/>
    <w:basedOn w:val="37"/>
    <w:link w:val="6"/>
    <w:semiHidden/>
    <w:qFormat/>
    <w:uiPriority w:val="9"/>
    <w:rPr>
      <w:rFonts w:cstheme="majorBidi"/>
      <w:color w:val="2F5597" w:themeColor="accent1" w:themeShade="BF"/>
      <w:sz w:val="24"/>
      <w:szCs w:val="24"/>
    </w:rPr>
  </w:style>
  <w:style w:type="character" w:customStyle="1" w:styleId="48">
    <w:name w:val="标题 6 字符"/>
    <w:basedOn w:val="37"/>
    <w:link w:val="7"/>
    <w:semiHidden/>
    <w:qFormat/>
    <w:uiPriority w:val="9"/>
    <w:rPr>
      <w:rFonts w:cstheme="majorBidi"/>
      <w:b/>
      <w:bCs/>
      <w:color w:val="2F5597" w:themeColor="accent1" w:themeShade="BF"/>
    </w:rPr>
  </w:style>
  <w:style w:type="character" w:customStyle="1" w:styleId="49">
    <w:name w:val="标题 7 字符"/>
    <w:basedOn w:val="3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50">
    <w:name w:val="标题 8 字符"/>
    <w:basedOn w:val="3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51">
    <w:name w:val="标题 9 字符"/>
    <w:basedOn w:val="3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52">
    <w:name w:val="标题 字符"/>
    <w:basedOn w:val="37"/>
    <w:link w:val="33"/>
    <w:qFormat/>
    <w:uiPriority w:val="10"/>
    <w:rPr>
      <w:rFonts w:asciiTheme="majorHAnsi" w:hAnsiTheme="majorHAnsi" w:eastAsiaTheme="majorEastAsia" w:cstheme="majorBidi"/>
      <w:spacing w:val="-10"/>
      <w:kern w:val="28"/>
      <w:sz w:val="56"/>
      <w:szCs w:val="56"/>
    </w:rPr>
  </w:style>
  <w:style w:type="character" w:customStyle="1" w:styleId="53">
    <w:name w:val="副标题 字符"/>
    <w:basedOn w:val="37"/>
    <w:link w:val="26"/>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54">
    <w:name w:val="Quote"/>
    <w:basedOn w:val="1"/>
    <w:next w:val="1"/>
    <w:link w:val="55"/>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55">
    <w:name w:val="引用 字符"/>
    <w:basedOn w:val="37"/>
    <w:link w:val="54"/>
    <w:qFormat/>
    <w:uiPriority w:val="29"/>
    <w:rPr>
      <w:i/>
      <w:iCs/>
      <w:color w:val="404040" w:themeColor="text1" w:themeTint="BF"/>
      <w14:textFill>
        <w14:solidFill>
          <w14:schemeClr w14:val="tx1">
            <w14:lumMod w14:val="75000"/>
            <w14:lumOff w14:val="25000"/>
          </w14:schemeClr>
        </w14:solidFill>
      </w14:textFill>
    </w:rPr>
  </w:style>
  <w:style w:type="paragraph" w:styleId="56">
    <w:name w:val="List Paragraph"/>
    <w:basedOn w:val="1"/>
    <w:qFormat/>
    <w:uiPriority w:val="34"/>
    <w:pPr>
      <w:ind w:left="720"/>
      <w:contextualSpacing/>
    </w:pPr>
  </w:style>
  <w:style w:type="character" w:customStyle="1" w:styleId="57">
    <w:name w:val="Intense Emphasis"/>
    <w:basedOn w:val="37"/>
    <w:qFormat/>
    <w:uiPriority w:val="21"/>
    <w:rPr>
      <w:i/>
      <w:iCs/>
      <w:color w:val="2F5597" w:themeColor="accent1" w:themeShade="BF"/>
    </w:rPr>
  </w:style>
  <w:style w:type="paragraph" w:styleId="58">
    <w:name w:val="Intense Quote"/>
    <w:basedOn w:val="1"/>
    <w:next w:val="1"/>
    <w:link w:val="59"/>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59">
    <w:name w:val="明显引用 字符"/>
    <w:basedOn w:val="37"/>
    <w:link w:val="58"/>
    <w:qFormat/>
    <w:uiPriority w:val="30"/>
    <w:rPr>
      <w:i/>
      <w:iCs/>
      <w:color w:val="2F5597" w:themeColor="accent1" w:themeShade="BF"/>
    </w:rPr>
  </w:style>
  <w:style w:type="character" w:customStyle="1" w:styleId="60">
    <w:name w:val="Intense Reference"/>
    <w:basedOn w:val="37"/>
    <w:qFormat/>
    <w:uiPriority w:val="32"/>
    <w:rPr>
      <w:b/>
      <w:bCs/>
      <w:smallCaps/>
      <w:color w:val="2F5597" w:themeColor="accent1" w:themeShade="BF"/>
      <w:spacing w:val="5"/>
    </w:rPr>
  </w:style>
  <w:style w:type="character" w:customStyle="1" w:styleId="61">
    <w:name w:val="页眉 字符"/>
    <w:basedOn w:val="37"/>
    <w:link w:val="23"/>
    <w:qFormat/>
    <w:uiPriority w:val="99"/>
    <w:rPr>
      <w:sz w:val="18"/>
      <w:szCs w:val="18"/>
    </w:rPr>
  </w:style>
  <w:style w:type="character" w:customStyle="1" w:styleId="62">
    <w:name w:val="页脚 字符"/>
    <w:basedOn w:val="37"/>
    <w:link w:val="22"/>
    <w:qFormat/>
    <w:uiPriority w:val="99"/>
    <w:rPr>
      <w:sz w:val="18"/>
      <w:szCs w:val="18"/>
    </w:rPr>
  </w:style>
  <w:style w:type="character" w:customStyle="1" w:styleId="63">
    <w:name w:val="文档结构图 字符"/>
    <w:basedOn w:val="37"/>
    <w:link w:val="12"/>
    <w:semiHidden/>
    <w:qFormat/>
    <w:uiPriority w:val="0"/>
    <w:rPr>
      <w:rFonts w:ascii="Times New Roman" w:hAnsi="Times New Roman" w:eastAsia="仿宋_GB2312" w:cs="Times New Roman"/>
      <w:sz w:val="30"/>
      <w:szCs w:val="24"/>
      <w:shd w:val="clear" w:color="auto" w:fill="000080"/>
    </w:rPr>
  </w:style>
  <w:style w:type="character" w:customStyle="1" w:styleId="64">
    <w:name w:val="批注文字 字符"/>
    <w:basedOn w:val="37"/>
    <w:qFormat/>
    <w:uiPriority w:val="0"/>
    <w:rPr>
      <w:rFonts w:ascii="Times New Roman" w:hAnsi="Times New Roman" w:eastAsia="仿宋_GB2312" w:cs="Times New Roman"/>
      <w:sz w:val="30"/>
      <w:szCs w:val="24"/>
    </w:rPr>
  </w:style>
  <w:style w:type="character" w:customStyle="1" w:styleId="65">
    <w:name w:val="批注文字 字符1"/>
    <w:link w:val="13"/>
    <w:qFormat/>
    <w:uiPriority w:val="0"/>
    <w:rPr>
      <w:rFonts w:ascii="Times New Roman" w:hAnsi="Times New Roman" w:eastAsia="仿宋_GB2312" w:cs="Times New Roman"/>
      <w:sz w:val="30"/>
      <w:szCs w:val="24"/>
    </w:rPr>
  </w:style>
  <w:style w:type="character" w:customStyle="1" w:styleId="66">
    <w:name w:val="正文文本 字符"/>
    <w:basedOn w:val="37"/>
    <w:link w:val="14"/>
    <w:qFormat/>
    <w:uiPriority w:val="0"/>
    <w:rPr>
      <w:rFonts w:ascii="Calibri" w:hAnsi="Calibri" w:eastAsia="宋体" w:cs="Times New Roman"/>
    </w:rPr>
  </w:style>
  <w:style w:type="character" w:customStyle="1" w:styleId="67">
    <w:name w:val="正文文本缩进 字符"/>
    <w:basedOn w:val="37"/>
    <w:link w:val="15"/>
    <w:qFormat/>
    <w:uiPriority w:val="0"/>
    <w:rPr>
      <w:rFonts w:ascii="Times New Roman" w:hAnsi="Times New Roman" w:eastAsia="仿宋_GB2312" w:cs="Times New Roman"/>
      <w:sz w:val="30"/>
      <w:szCs w:val="24"/>
    </w:rPr>
  </w:style>
  <w:style w:type="character" w:customStyle="1" w:styleId="68">
    <w:name w:val="正文文本缩进 2 字符"/>
    <w:basedOn w:val="37"/>
    <w:qFormat/>
    <w:uiPriority w:val="0"/>
    <w:rPr>
      <w:rFonts w:ascii="Times New Roman" w:hAnsi="Times New Roman" w:eastAsia="仿宋_GB2312" w:cs="Times New Roman"/>
      <w:sz w:val="30"/>
      <w:szCs w:val="24"/>
    </w:rPr>
  </w:style>
  <w:style w:type="character" w:customStyle="1" w:styleId="69">
    <w:name w:val="正文文本缩进 2 字符1"/>
    <w:link w:val="19"/>
    <w:qFormat/>
    <w:uiPriority w:val="0"/>
    <w:rPr>
      <w:rFonts w:ascii="Times New Roman" w:hAnsi="Times New Roman" w:eastAsia="宋体" w:cs="Times New Roman"/>
      <w:szCs w:val="24"/>
    </w:rPr>
  </w:style>
  <w:style w:type="character" w:customStyle="1" w:styleId="70">
    <w:name w:val="批注框文本 字符"/>
    <w:basedOn w:val="37"/>
    <w:link w:val="21"/>
    <w:semiHidden/>
    <w:qFormat/>
    <w:uiPriority w:val="0"/>
    <w:rPr>
      <w:rFonts w:ascii="Times New Roman" w:hAnsi="Times New Roman" w:eastAsia="仿宋_GB2312" w:cs="Times New Roman"/>
      <w:sz w:val="18"/>
      <w:szCs w:val="18"/>
    </w:rPr>
  </w:style>
  <w:style w:type="character" w:customStyle="1" w:styleId="71">
    <w:name w:val="页脚 字符1"/>
    <w:qFormat/>
    <w:uiPriority w:val="99"/>
    <w:rPr>
      <w:rFonts w:eastAsia="宋体"/>
      <w:sz w:val="18"/>
      <w:szCs w:val="18"/>
      <w:lang w:bidi="ar-SA"/>
    </w:rPr>
  </w:style>
  <w:style w:type="character" w:customStyle="1" w:styleId="72">
    <w:name w:val="脚注文本 字符"/>
    <w:basedOn w:val="37"/>
    <w:link w:val="27"/>
    <w:qFormat/>
    <w:uiPriority w:val="99"/>
    <w:rPr>
      <w:rFonts w:ascii="Calibri" w:hAnsi="Calibri" w:eastAsia="宋体" w:cs="Times New Roman"/>
      <w:kern w:val="0"/>
      <w:sz w:val="18"/>
      <w:szCs w:val="20"/>
    </w:rPr>
  </w:style>
  <w:style w:type="character" w:customStyle="1" w:styleId="73">
    <w:name w:val="正文文本缩进 3 字符"/>
    <w:basedOn w:val="37"/>
    <w:link w:val="29"/>
    <w:qFormat/>
    <w:uiPriority w:val="0"/>
    <w:rPr>
      <w:rFonts w:ascii="Times New Roman" w:hAnsi="Times New Roman" w:eastAsia="仿宋_GB2312" w:cs="Times New Roman"/>
      <w:sz w:val="16"/>
      <w:szCs w:val="16"/>
    </w:rPr>
  </w:style>
  <w:style w:type="character" w:customStyle="1" w:styleId="74">
    <w:name w:val="批注主题 字符"/>
    <w:basedOn w:val="64"/>
    <w:link w:val="34"/>
    <w:semiHidden/>
    <w:qFormat/>
    <w:uiPriority w:val="0"/>
    <w:rPr>
      <w:rFonts w:ascii="Times New Roman" w:hAnsi="Times New Roman" w:eastAsia="仿宋_GB2312" w:cs="Times New Roman"/>
      <w:b/>
      <w:bCs/>
      <w:sz w:val="30"/>
      <w:szCs w:val="24"/>
    </w:rPr>
  </w:style>
  <w:style w:type="paragraph" w:customStyle="1" w:styleId="75">
    <w:name w:val=" Char2"/>
    <w:basedOn w:val="1"/>
    <w:qFormat/>
    <w:uiPriority w:val="0"/>
    <w:pPr>
      <w:widowControl/>
      <w:spacing w:after="160" w:line="240" w:lineRule="exact"/>
      <w:jc w:val="left"/>
    </w:pPr>
    <w:rPr>
      <w:rFonts w:ascii="Verdana" w:hAnsi="Verdana"/>
      <w:kern w:val="0"/>
      <w:sz w:val="24"/>
      <w:szCs w:val="20"/>
      <w:lang w:eastAsia="en-US"/>
    </w:rPr>
  </w:style>
  <w:style w:type="paragraph" w:customStyle="1" w:styleId="76">
    <w:name w:val="Char1 Char Char Char"/>
    <w:basedOn w:val="1"/>
    <w:qFormat/>
    <w:uiPriority w:val="0"/>
    <w:pPr>
      <w:widowControl/>
      <w:spacing w:after="160" w:line="240" w:lineRule="exact"/>
      <w:jc w:val="left"/>
    </w:pPr>
    <w:rPr>
      <w:rFonts w:ascii="Verdana" w:hAnsi="Verdana"/>
      <w:kern w:val="0"/>
      <w:szCs w:val="30"/>
      <w:lang w:eastAsia="en-US"/>
    </w:rPr>
  </w:style>
  <w:style w:type="paragraph" w:customStyle="1" w:styleId="77">
    <w:name w:val=" Char Char Char Char"/>
    <w:basedOn w:val="1"/>
    <w:qFormat/>
    <w:uiPriority w:val="0"/>
    <w:pPr>
      <w:numPr>
        <w:ilvl w:val="0"/>
        <w:numId w:val="2"/>
      </w:numPr>
    </w:pPr>
    <w:rPr>
      <w:rFonts w:eastAsia="宋体"/>
      <w:sz w:val="24"/>
    </w:rPr>
  </w:style>
  <w:style w:type="paragraph" w:customStyle="1" w:styleId="78">
    <w:name w:val=" Char1"/>
    <w:basedOn w:val="1"/>
    <w:qFormat/>
    <w:uiPriority w:val="0"/>
    <w:rPr>
      <w:rFonts w:ascii="宋体" w:hAnsi="宋体" w:eastAsia="宋体" w:cs="Courier New"/>
      <w:sz w:val="32"/>
      <w:szCs w:val="32"/>
    </w:rPr>
  </w:style>
  <w:style w:type="paragraph" w:customStyle="1" w:styleId="79">
    <w:name w:val=" Char Char Char Char Char Char Char Char Char Char Char Char"/>
    <w:basedOn w:val="1"/>
    <w:qFormat/>
    <w:uiPriority w:val="0"/>
    <w:rPr>
      <w:rFonts w:ascii="宋体" w:hAnsi="宋体" w:eastAsia="宋体" w:cs="Courier New"/>
      <w:sz w:val="32"/>
      <w:szCs w:val="32"/>
    </w:rPr>
  </w:style>
  <w:style w:type="paragraph" w:customStyle="1" w:styleId="80">
    <w:name w:val=" Char Char Char1 Char Char Char Char"/>
    <w:basedOn w:val="1"/>
    <w:qFormat/>
    <w:uiPriority w:val="0"/>
    <w:rPr>
      <w:rFonts w:ascii="Tahoma" w:hAnsi="Tahoma" w:eastAsia="宋体"/>
      <w:sz w:val="24"/>
      <w:szCs w:val="20"/>
    </w:rPr>
  </w:style>
  <w:style w:type="paragraph" w:customStyle="1" w:styleId="81">
    <w:name w:val=" Char1 Char Char"/>
    <w:basedOn w:val="1"/>
    <w:qFormat/>
    <w:uiPriority w:val="0"/>
    <w:pPr>
      <w:widowControl/>
      <w:spacing w:after="160" w:line="240" w:lineRule="exact"/>
      <w:jc w:val="left"/>
    </w:pPr>
    <w:rPr>
      <w:rFonts w:ascii="Verdana" w:hAnsi="Verdana"/>
      <w:kern w:val="0"/>
      <w:sz w:val="24"/>
      <w:szCs w:val="20"/>
      <w:lang w:eastAsia="en-US"/>
    </w:rPr>
  </w:style>
  <w:style w:type="paragraph" w:customStyle="1" w:styleId="82">
    <w:name w:val="Revision"/>
    <w:semiHidden/>
    <w:qFormat/>
    <w:uiPriority w:val="99"/>
    <w:rPr>
      <w:rFonts w:ascii="Times New Roman" w:hAnsi="Times New Roman" w:eastAsia="仿宋_GB2312" w:cs="Times New Roman"/>
      <w:kern w:val="2"/>
      <w:sz w:val="30"/>
      <w:szCs w:val="24"/>
      <w:lang w:val="en-US" w:eastAsia="zh-CN" w:bidi="ar-SA"/>
    </w:rPr>
  </w:style>
  <w:style w:type="character" w:customStyle="1" w:styleId="83">
    <w:name w:val="正文1 Char"/>
    <w:link w:val="84"/>
    <w:qFormat/>
    <w:locked/>
    <w:uiPriority w:val="0"/>
    <w:rPr>
      <w:rFonts w:ascii="宋体" w:hAnsi="宋体" w:eastAsia="仿宋_GB2312"/>
      <w:spacing w:val="6"/>
      <w:sz w:val="24"/>
    </w:rPr>
  </w:style>
  <w:style w:type="paragraph" w:customStyle="1" w:styleId="84">
    <w:name w:val="正文1"/>
    <w:basedOn w:val="1"/>
    <w:link w:val="83"/>
    <w:qFormat/>
    <w:uiPriority w:val="0"/>
    <w:pPr>
      <w:autoSpaceDE w:val="0"/>
      <w:autoSpaceDN w:val="0"/>
      <w:adjustRightInd w:val="0"/>
      <w:snapToGrid w:val="0"/>
      <w:spacing w:line="600" w:lineRule="exact"/>
      <w:ind w:firstLine="624" w:firstLineChars="200"/>
    </w:pPr>
    <w:rPr>
      <w:rFonts w:ascii="宋体" w:hAnsi="宋体" w:cstheme="minorBidi"/>
      <w:spacing w:val="6"/>
      <w:sz w:val="24"/>
      <w:szCs w:val="22"/>
    </w:rPr>
  </w:style>
  <w:style w:type="paragraph" w:customStyle="1" w:styleId="85">
    <w:name w:val="TOC Heading"/>
    <w:basedOn w:val="2"/>
    <w:next w:val="1"/>
    <w:qFormat/>
    <w:uiPriority w:val="39"/>
    <w:pPr>
      <w:widowControl/>
      <w:spacing w:after="0" w:line="276" w:lineRule="auto"/>
      <w:jc w:val="left"/>
      <w:outlineLvl w:val="9"/>
    </w:pPr>
    <w:rPr>
      <w:rFonts w:ascii="Cambria" w:hAnsi="Cambria" w:eastAsia="宋体" w:cs="Times New Roman"/>
      <w:b/>
      <w:bCs/>
      <w:color w:val="365F91"/>
      <w:kern w:val="0"/>
      <w:sz w:val="28"/>
      <w:szCs w:val="28"/>
    </w:rPr>
  </w:style>
  <w:style w:type="character" w:customStyle="1" w:styleId="86">
    <w:name w:val="bjh-p"/>
    <w:qFormat/>
    <w:uiPriority w:val="0"/>
  </w:style>
  <w:style w:type="character" w:customStyle="1" w:styleId="87">
    <w:name w:val="font51"/>
    <w:qFormat/>
    <w:uiPriority w:val="0"/>
    <w:rPr>
      <w:rFonts w:hint="eastAsia" w:ascii="宋体" w:hAnsi="宋体" w:eastAsia="宋体"/>
      <w:color w:val="000000"/>
      <w:sz w:val="20"/>
      <w:szCs w:val="20"/>
      <w:u w:val="none"/>
    </w:rPr>
  </w:style>
  <w:style w:type="character" w:customStyle="1" w:styleId="88">
    <w:name w:val="font41"/>
    <w:qFormat/>
    <w:uiPriority w:val="0"/>
    <w:rPr>
      <w:rFonts w:hint="eastAsia" w:ascii="宋体" w:hAnsi="宋体" w:eastAsia="宋体"/>
      <w:color w:val="FF0000"/>
      <w:sz w:val="20"/>
      <w:szCs w:val="20"/>
      <w:u w:val="none"/>
    </w:rPr>
  </w:style>
  <w:style w:type="character" w:customStyle="1" w:styleId="89">
    <w:name w:val="font31"/>
    <w:qFormat/>
    <w:uiPriority w:val="0"/>
    <w:rPr>
      <w:rFonts w:hint="eastAsia" w:ascii="宋体" w:hAnsi="宋体" w:eastAsia="宋体"/>
      <w:color w:val="000000"/>
      <w:sz w:val="20"/>
      <w:szCs w:val="20"/>
      <w:u w:val="none"/>
    </w:rPr>
  </w:style>
  <w:style w:type="character" w:customStyle="1" w:styleId="90">
    <w:name w:val="尾注文本 字符"/>
    <w:basedOn w:val="37"/>
    <w:link w:val="20"/>
    <w:qFormat/>
    <w:uiPriority w:val="0"/>
    <w:rPr>
      <w:rFonts w:ascii="Times New Roman" w:hAnsi="Times New Roman" w:eastAsia="仿宋_GB2312" w:cs="Times New Roman"/>
      <w:sz w:val="30"/>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6712</Words>
  <Characters>7002</Characters>
  <Lines>427</Lines>
  <Paragraphs>634</Paragraphs>
  <TotalTime>56</TotalTime>
  <ScaleCrop>false</ScaleCrop>
  <LinksUpToDate>false</LinksUpToDate>
  <CharactersWithSpaces>7007</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2025-08-23T09:41:00Z</dcterms:created>
  <dc:creator>qi shuaixing</dc:creator>
  <cp:lastModifiedBy>BJKJB</cp:lastModifiedBy>
  <dcterms:modified xsi:type="dcterms:W3CDTF">2025-08-29T02:36:40Z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eyJoZGlkIjoiODhiM2UxZWRhZGQ0YmNhMjhjZjNjNDZiMTc1MTE4YzQiLCJ1c2VySWQiOiIyNDI3MzI5NTgifQ==</vt:lpwstr>
  </property>
  <property fmtid="{D5CDD505-2E9C-101B-9397-08002B2CF9AE}" pid="3" name="KSOProductBuildVer">
    <vt:lpwstr>2052-12.1.0.16910</vt:lpwstr>
  </property>
  <property fmtid="{D5CDD505-2E9C-101B-9397-08002B2CF9AE}" pid="4" name="ICV">
    <vt:lpwstr>106E4660FACA4AC98F21F035FED74EA7_12</vt:lpwstr>
  </property>
</Properties>
</file>